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bookmarkStart w:id="0" w:name="_GoBack"/>
            <w:bookmarkEnd w:id="0"/>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51B68" w:rsidRDefault="00A935AD">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A935AD" w:rsidRDefault="00545012" w:rsidP="00A935AD">
            <w:pPr>
              <w:suppressLineNumbers/>
              <w:spacing w:line="360" w:lineRule="auto"/>
              <w:rPr>
                <w:rFonts w:ascii="Arial" w:hAnsi="Arial"/>
                <w:b/>
                <w:bCs/>
                <w:noProof w:val="0"/>
                <w:sz w:val="26"/>
                <w:szCs w:val="26"/>
                <w:rtl/>
              </w:rPr>
            </w:pPr>
            <w:r>
              <w:rPr>
                <w:rFonts w:ascii="Arial" w:hAnsi="Arial" w:hint="cs"/>
                <w:b/>
                <w:bCs/>
                <w:noProof w:val="0"/>
                <w:sz w:val="26"/>
                <w:szCs w:val="26"/>
                <w:rtl/>
              </w:rPr>
              <w:t>נ. י</w:t>
            </w:r>
          </w:p>
          <w:p w:rsidR="0094424E" w:rsidRDefault="00B859C5" w:rsidP="00A935AD">
            <w:pPr>
              <w:suppressLineNumbers/>
              <w:spacing w:line="360" w:lineRule="auto"/>
              <w:rPr>
                <w:b/>
                <w:bCs/>
                <w:noProof w:val="0"/>
                <w:sz w:val="26"/>
                <w:szCs w:val="26"/>
              </w:rPr>
            </w:pPr>
            <w:r>
              <w:rPr>
                <w:rFonts w:ascii="Arial" w:hAnsi="Arial"/>
                <w:b/>
                <w:bCs/>
                <w:noProof w:val="0"/>
                <w:sz w:val="26"/>
                <w:szCs w:val="26"/>
                <w:rtl/>
              </w:rPr>
              <w:t>ע"י ב"כ עוה"ד</w:t>
            </w:r>
            <w:r w:rsidR="00A935AD">
              <w:rPr>
                <w:rFonts w:hint="cs"/>
                <w:b/>
                <w:bCs/>
                <w:noProof w:val="0"/>
                <w:sz w:val="26"/>
                <w:szCs w:val="26"/>
                <w:rtl/>
              </w:rPr>
              <w:t xml:space="preserve"> </w:t>
            </w:r>
            <w:r w:rsidR="00A935AD">
              <w:rPr>
                <w:b/>
                <w:bCs/>
                <w:noProof w:val="0"/>
                <w:sz w:val="26"/>
                <w:szCs w:val="26"/>
                <w:rtl/>
              </w:rPr>
              <w:t>שי זילברברג</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A935AD">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8D01DE" w:rsidP="00A935AD">
            <w:pPr>
              <w:suppressLineNumbers/>
              <w:rPr>
                <w:rFonts w:ascii="Arial" w:hAnsi="Arial"/>
                <w:b/>
                <w:bCs/>
                <w:noProof w:val="0"/>
                <w:sz w:val="26"/>
                <w:szCs w:val="26"/>
              </w:rPr>
            </w:pPr>
            <w:sdt>
              <w:sdtPr>
                <w:rPr>
                  <w:rtl/>
                </w:rPr>
                <w:alias w:val="1184"/>
                <w:tag w:val="1184"/>
                <w:id w:val="-340621022"/>
                <w:text w:multiLine="1"/>
              </w:sdtPr>
              <w:sdtEndPr/>
              <w:sdtContent>
                <w:r w:rsidR="00A935AD">
                  <w:rPr>
                    <w:rFonts w:ascii="Arial" w:hAnsi="Arial"/>
                    <w:b/>
                    <w:bCs/>
                    <w:noProof w:val="0"/>
                    <w:sz w:val="26"/>
                    <w:szCs w:val="26"/>
                    <w:rtl/>
                  </w:rPr>
                  <w:t>משיב</w:t>
                </w:r>
              </w:sdtContent>
            </w:sdt>
          </w:p>
        </w:tc>
        <w:tc>
          <w:tcPr>
            <w:tcW w:w="5571" w:type="dxa"/>
          </w:tcPr>
          <w:p w:rsidR="00A935AD" w:rsidRDefault="00545012" w:rsidP="00A935AD">
            <w:pPr>
              <w:suppressLineNumbers/>
              <w:spacing w:line="360" w:lineRule="auto"/>
              <w:rPr>
                <w:rtl/>
              </w:rPr>
            </w:pPr>
            <w:r>
              <w:rPr>
                <w:rFonts w:ascii="Arial" w:hAnsi="Arial" w:hint="cs"/>
                <w:b/>
                <w:bCs/>
                <w:noProof w:val="0"/>
                <w:sz w:val="26"/>
                <w:szCs w:val="26"/>
                <w:rtl/>
              </w:rPr>
              <w:t>י. י</w:t>
            </w:r>
          </w:p>
          <w:p w:rsidR="00CF6BB7" w:rsidRPr="009E461A" w:rsidRDefault="00B859C5" w:rsidP="007C2453">
            <w:pPr>
              <w:suppressLineNumbers/>
              <w:rPr>
                <w:rtl/>
              </w:rPr>
            </w:pPr>
            <w:r>
              <w:rPr>
                <w:rFonts w:ascii="Arial" w:hAnsi="Arial"/>
                <w:b/>
                <w:bCs/>
                <w:noProof w:val="0"/>
                <w:sz w:val="26"/>
                <w:szCs w:val="26"/>
                <w:rtl/>
              </w:rPr>
              <w:t>ע"י ב"כ עוה"ד</w:t>
            </w:r>
            <w:r w:rsidR="00A935AD">
              <w:rPr>
                <w:rFonts w:hint="cs"/>
                <w:rtl/>
              </w:rPr>
              <w:t xml:space="preserve"> </w:t>
            </w:r>
            <w:r w:rsidR="00A935AD">
              <w:rPr>
                <w:rFonts w:ascii="Arial" w:hAnsi="Arial"/>
                <w:b/>
                <w:bCs/>
                <w:noProof w:val="0"/>
                <w:sz w:val="26"/>
                <w:szCs w:val="26"/>
                <w:rtl/>
              </w:rPr>
              <w:t>שרון ליכט – פטרן</w:t>
            </w:r>
          </w:p>
        </w:tc>
      </w:tr>
    </w:tbl>
    <w:p w:rsidR="0094424E" w:rsidRDefault="0094424E" w:rsidP="00D44968">
      <w:pPr>
        <w:suppressLineNumbers/>
        <w:rPr>
          <w:rtl/>
        </w:rPr>
      </w:pPr>
    </w:p>
    <w:p w:rsidR="00A935AD" w:rsidRDefault="00A935AD" w:rsidP="00D44968">
      <w:pPr>
        <w:suppressLineNumbers/>
        <w:rPr>
          <w:rtl/>
        </w:rPr>
      </w:pPr>
    </w:p>
    <w:tbl>
      <w:tblPr>
        <w:tblStyle w:val="a9"/>
        <w:bidiVisual/>
        <w:tblW w:w="89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gridCol w:w="114"/>
      </w:tblGrid>
      <w:tr w:rsidR="00694556" w:rsidRPr="00DE1E7D" w:rsidTr="00A935AD">
        <w:trPr>
          <w:gridAfter w:val="1"/>
          <w:wAfter w:w="114" w:type="dxa"/>
          <w:jc w:val="center"/>
        </w:trPr>
        <w:tc>
          <w:tcPr>
            <w:tcW w:w="8820" w:type="dxa"/>
          </w:tcPr>
          <w:p w:rsidR="00D44968" w:rsidRPr="00D44968" w:rsidRDefault="003E38C7" w:rsidP="00A935AD">
            <w:pPr>
              <w:bidi w:val="0"/>
              <w:spacing w:line="360" w:lineRule="auto"/>
              <w:jc w:val="center"/>
              <w:rPr>
                <w:rFonts w:ascii="Arial" w:hAnsi="Arial"/>
                <w:b/>
                <w:bCs/>
                <w:noProof w:val="0"/>
                <w:sz w:val="28"/>
                <w:szCs w:val="28"/>
                <w:u w:val="single"/>
              </w:rPr>
            </w:pPr>
            <w:r>
              <w:rPr>
                <w:rFonts w:ascii="Arial" w:hAnsi="Arial" w:hint="cs"/>
                <w:b/>
                <w:bCs/>
                <w:noProof w:val="0"/>
                <w:sz w:val="28"/>
                <w:szCs w:val="28"/>
                <w:u w:val="single"/>
                <w:rtl/>
              </w:rPr>
              <w:t>פסק דין</w:t>
            </w:r>
          </w:p>
        </w:tc>
      </w:tr>
      <w:tr w:rsidR="00A935AD" w:rsidTr="00A935AD">
        <w:trPr>
          <w:jc w:val="center"/>
        </w:trPr>
        <w:tc>
          <w:tcPr>
            <w:tcW w:w="8934" w:type="dxa"/>
            <w:gridSpan w:val="2"/>
          </w:tcPr>
          <w:p w:rsidR="00A935AD" w:rsidRDefault="00A935AD">
            <w:pPr>
              <w:bidi w:val="0"/>
              <w:jc w:val="center"/>
              <w:rPr>
                <w:rFonts w:ascii="Arial" w:hAnsi="Arial"/>
                <w:b/>
                <w:bCs/>
                <w:noProof w:val="0"/>
                <w:sz w:val="28"/>
                <w:szCs w:val="28"/>
                <w:u w:val="single"/>
                <w:rtl/>
              </w:rPr>
            </w:pPr>
            <w:bookmarkStart w:id="1" w:name="NGCSBookmark"/>
            <w:bookmarkEnd w:id="1"/>
          </w:p>
        </w:tc>
      </w:tr>
    </w:tbl>
    <w:p w:rsidR="00A935AD" w:rsidRDefault="00A935AD" w:rsidP="00A935AD">
      <w:pPr>
        <w:spacing w:after="120" w:line="360" w:lineRule="auto"/>
        <w:ind w:left="720" w:hanging="720"/>
        <w:jc w:val="both"/>
        <w:rPr>
          <w:rFonts w:ascii="David" w:hAnsi="David"/>
          <w:rtl/>
        </w:rPr>
      </w:pPr>
      <w:r>
        <w:rPr>
          <w:rFonts w:ascii="David" w:hAnsi="David"/>
          <w:rtl/>
        </w:rPr>
        <w:t>1.</w:t>
      </w:r>
      <w:r>
        <w:rPr>
          <w:rFonts w:ascii="David" w:hAnsi="David"/>
          <w:rtl/>
        </w:rPr>
        <w:tab/>
        <w:t>עסקינן בבקשת רשות ערעור על החלטת בית משפט לענייני משפחה בחדרה (כב' השופטת הדס גולדקורן) מיום 20.2.2023 בתיק תלה"מ 28179-11-20 (להלן: "</w:t>
      </w:r>
      <w:r>
        <w:rPr>
          <w:rFonts w:ascii="David" w:hAnsi="David"/>
          <w:b/>
          <w:bCs/>
          <w:rtl/>
        </w:rPr>
        <w:t>ההחלטה קמא</w:t>
      </w:r>
      <w:r>
        <w:rPr>
          <w:rFonts w:ascii="David" w:hAnsi="David"/>
          <w:rtl/>
        </w:rPr>
        <w:t>" ו- "</w:t>
      </w:r>
      <w:r>
        <w:rPr>
          <w:rFonts w:ascii="David" w:hAnsi="David"/>
          <w:b/>
          <w:bCs/>
          <w:rtl/>
        </w:rPr>
        <w:t>התיק</w:t>
      </w:r>
      <w:r>
        <w:rPr>
          <w:rFonts w:ascii="David" w:hAnsi="David"/>
          <w:rtl/>
        </w:rPr>
        <w:t xml:space="preserve"> </w:t>
      </w:r>
      <w:r>
        <w:rPr>
          <w:rFonts w:ascii="David" w:hAnsi="David"/>
          <w:b/>
          <w:bCs/>
          <w:rtl/>
        </w:rPr>
        <w:t>קמא</w:t>
      </w:r>
      <w:r>
        <w:rPr>
          <w:rFonts w:ascii="David" w:hAnsi="David"/>
          <w:rtl/>
        </w:rPr>
        <w:t>" בהתאמה), אשר במסגרתה העדיף בית משפט קמא את חוות דעתו של המומחה מטעמו, ד"ר גוטליב, על פני הפסיכולוג מר פאיאנס, כפי שיתואר להלן.</w:t>
      </w:r>
    </w:p>
    <w:p w:rsidR="00A935AD" w:rsidRDefault="00A935AD" w:rsidP="00A935AD">
      <w:pPr>
        <w:spacing w:after="120" w:line="360" w:lineRule="auto"/>
        <w:ind w:left="720" w:hanging="720"/>
        <w:jc w:val="both"/>
        <w:rPr>
          <w:rFonts w:ascii="David" w:hAnsi="David"/>
          <w:rtl/>
        </w:rPr>
      </w:pPr>
      <w:r>
        <w:rPr>
          <w:rFonts w:ascii="David" w:hAnsi="David"/>
          <w:rtl/>
        </w:rPr>
        <w:t>2.</w:t>
      </w:r>
      <w:r>
        <w:rPr>
          <w:rFonts w:ascii="David" w:hAnsi="David"/>
          <w:rtl/>
        </w:rPr>
        <w:tab/>
        <w:t>יוער כי הדיון בתיק זה התעכב מאחר שבקשת רשות הערעור הוגשה באיחור-מה ובקשת המבקשת להארכת מועד נדונה בפני הרשמת, כב' השופטת עידית וינברגר; בהחלטתה מיום 11.5.23 דחתה כב' הרשמת את הבקשה, אולם בערעור בפני כב' השופט הבכ</w:t>
      </w:r>
      <w:r w:rsidR="001F4155">
        <w:rPr>
          <w:rFonts w:ascii="David" w:hAnsi="David"/>
          <w:rtl/>
        </w:rPr>
        <w:t>יר מנחם רניאל (</w:t>
      </w:r>
      <w:r>
        <w:rPr>
          <w:rFonts w:ascii="David" w:hAnsi="David"/>
          <w:rtl/>
        </w:rPr>
        <w:t>החלטה מיום 28.5.23) הגיעו הצדדים להסכמה כי יוארך המועד להגשת בקשת רשות הערעור עד למועד הגשתה בפועל, והתיק חזר למותב זה, לדון בו לגופו.</w:t>
      </w:r>
    </w:p>
    <w:p w:rsidR="00A935AD" w:rsidRDefault="00A935AD" w:rsidP="00A935AD">
      <w:pPr>
        <w:spacing w:after="120" w:line="360" w:lineRule="auto"/>
        <w:jc w:val="both"/>
        <w:rPr>
          <w:rFonts w:ascii="David" w:hAnsi="David"/>
          <w:rtl/>
        </w:rPr>
      </w:pPr>
    </w:p>
    <w:p w:rsidR="00A935AD" w:rsidRDefault="00A935AD" w:rsidP="00A935AD">
      <w:pPr>
        <w:spacing w:after="120" w:line="360" w:lineRule="auto"/>
        <w:jc w:val="both"/>
        <w:rPr>
          <w:rFonts w:ascii="David" w:hAnsi="David"/>
          <w:b/>
          <w:bCs/>
          <w:u w:val="single"/>
        </w:rPr>
      </w:pPr>
      <w:r>
        <w:rPr>
          <w:rFonts w:ascii="David" w:hAnsi="David"/>
          <w:b/>
          <w:bCs/>
          <w:u w:val="single"/>
          <w:rtl/>
        </w:rPr>
        <w:t>רקע בזעיר אנפין</w:t>
      </w:r>
    </w:p>
    <w:p w:rsidR="00A935AD" w:rsidRDefault="00A935AD" w:rsidP="00A935AD">
      <w:pPr>
        <w:spacing w:after="120" w:line="360" w:lineRule="auto"/>
        <w:ind w:left="720" w:hanging="720"/>
        <w:jc w:val="both"/>
        <w:rPr>
          <w:rFonts w:ascii="Arial" w:hAnsi="Arial"/>
          <w:noProof w:val="0"/>
        </w:rPr>
      </w:pPr>
      <w:r>
        <w:rPr>
          <w:rFonts w:ascii="David" w:hAnsi="David"/>
          <w:rtl/>
        </w:rPr>
        <w:t>3.</w:t>
      </w:r>
      <w:r>
        <w:rPr>
          <w:rFonts w:ascii="David" w:hAnsi="David"/>
          <w:rtl/>
        </w:rPr>
        <w:tab/>
        <w:t>המבקשת והמשיב (להלן גם: "</w:t>
      </w:r>
      <w:r>
        <w:rPr>
          <w:rFonts w:ascii="David" w:hAnsi="David"/>
          <w:b/>
          <w:bCs/>
          <w:rtl/>
        </w:rPr>
        <w:t>הצדדים</w:t>
      </w:r>
      <w:r>
        <w:rPr>
          <w:rFonts w:ascii="David" w:hAnsi="David"/>
          <w:rtl/>
        </w:rPr>
        <w:t xml:space="preserve">"), </w:t>
      </w:r>
      <w:r>
        <w:rPr>
          <w:rFonts w:ascii="Arial" w:hAnsi="Arial"/>
          <w:noProof w:val="0"/>
          <w:rtl/>
        </w:rPr>
        <w:t>יהודים אשר נישאו זל"ז בשנת 2005. מנישואי הצדדים נולדו שלושה ילדים בשנים 2008, 2011 ו- 2014.</w:t>
      </w:r>
    </w:p>
    <w:p w:rsidR="00A935AD" w:rsidRDefault="00A935AD" w:rsidP="00A935AD">
      <w:pPr>
        <w:spacing w:after="120" w:line="360" w:lineRule="auto"/>
        <w:ind w:left="720" w:hanging="720"/>
        <w:jc w:val="both"/>
        <w:rPr>
          <w:rFonts w:ascii="Arial" w:hAnsi="Arial"/>
          <w:noProof w:val="0"/>
        </w:rPr>
      </w:pPr>
      <w:r>
        <w:rPr>
          <w:rFonts w:ascii="Arial" w:hAnsi="Arial"/>
          <w:noProof w:val="0"/>
          <w:rtl/>
        </w:rPr>
        <w:t>4.</w:t>
      </w:r>
      <w:r>
        <w:rPr>
          <w:rFonts w:ascii="Arial" w:hAnsi="Arial"/>
          <w:noProof w:val="0"/>
          <w:rtl/>
        </w:rPr>
        <w:tab/>
        <w:t xml:space="preserve">יחסי הצדדים עלו שרטון בשנת 2018 או בסמוך, ומתנהל ביניהם סכסוך מתמשך בעניין משמורת הקטינים, והליכים מתנהלים מזה כחמש שנים.  </w:t>
      </w:r>
    </w:p>
    <w:p w:rsidR="00A935AD" w:rsidRDefault="00A935AD" w:rsidP="00A935AD">
      <w:pPr>
        <w:spacing w:after="120" w:line="360" w:lineRule="auto"/>
        <w:ind w:left="720" w:hanging="720"/>
        <w:jc w:val="both"/>
        <w:rPr>
          <w:rFonts w:ascii="Arial" w:hAnsi="Arial"/>
          <w:noProof w:val="0"/>
          <w:rtl/>
        </w:rPr>
      </w:pPr>
      <w:r>
        <w:rPr>
          <w:rFonts w:ascii="Arial" w:hAnsi="Arial"/>
          <w:noProof w:val="0"/>
          <w:rtl/>
        </w:rPr>
        <w:tab/>
        <w:t>רקע לסכסוך הובא בהרחבה במסגרת פסק דיני ברמ"ש 36042-11-22 (להלן: "</w:t>
      </w:r>
      <w:r>
        <w:rPr>
          <w:rFonts w:ascii="Arial" w:hAnsi="Arial"/>
          <w:b/>
          <w:bCs/>
          <w:noProof w:val="0"/>
          <w:rtl/>
        </w:rPr>
        <w:t>הרמ"ש הקודם</w:t>
      </w:r>
      <w:r>
        <w:rPr>
          <w:rFonts w:ascii="Arial" w:hAnsi="Arial"/>
          <w:noProof w:val="0"/>
          <w:rtl/>
        </w:rPr>
        <w:t>") ועל מנת לא לסרבל פסק דין זה, אינני חוזר על הדברים.</w:t>
      </w:r>
    </w:p>
    <w:p w:rsidR="00A935AD" w:rsidRDefault="00A935AD" w:rsidP="00A935AD">
      <w:pPr>
        <w:spacing w:after="120" w:line="360" w:lineRule="auto"/>
        <w:ind w:left="720" w:hanging="720"/>
        <w:jc w:val="both"/>
        <w:rPr>
          <w:rFonts w:ascii="David" w:hAnsi="David"/>
          <w:noProof w:val="0"/>
          <w:rtl/>
        </w:rPr>
      </w:pPr>
      <w:r>
        <w:rPr>
          <w:rFonts w:ascii="Arial" w:hAnsi="Arial"/>
          <w:noProof w:val="0"/>
          <w:rtl/>
        </w:rPr>
        <w:t>5.</w:t>
      </w:r>
      <w:r>
        <w:rPr>
          <w:rFonts w:ascii="Arial" w:hAnsi="Arial"/>
          <w:noProof w:val="0"/>
          <w:rtl/>
        </w:rPr>
        <w:tab/>
      </w:r>
      <w:r>
        <w:rPr>
          <w:rFonts w:ascii="David" w:hAnsi="David"/>
          <w:rtl/>
        </w:rPr>
        <w:t>במסגרת הרמ"ש הקודם הוריתי על ביטול ההחלטה בתיק קמא מיום 8.</w:t>
      </w:r>
      <w:r>
        <w:rPr>
          <w:rFonts w:ascii="David" w:hAnsi="David"/>
          <w:noProof w:val="0"/>
          <w:rtl/>
        </w:rPr>
        <w:t xml:space="preserve">10.2022, אשר דחתה את בקשת המבקשת לביטול ההחלטה מיום 20.3.22. נזכיר כי ההחלטה מיום </w:t>
      </w:r>
      <w:r>
        <w:rPr>
          <w:rFonts w:ascii="David" w:hAnsi="David"/>
          <w:noProof w:val="0"/>
          <w:rtl/>
        </w:rPr>
        <w:lastRenderedPageBreak/>
        <w:t>20.3.22 קיבלה את</w:t>
      </w:r>
      <w:r>
        <w:rPr>
          <w:rFonts w:ascii="David" w:hAnsi="David"/>
          <w:rtl/>
        </w:rPr>
        <w:t xml:space="preserve"> מסקנות חוות דעתו של ד"ר גוטליב בכל הקשור לצמצום שהות הקטינים עם המבקשת, לרבות ביטול לינת הקטינים אצל המבקשת.</w:t>
      </w:r>
    </w:p>
    <w:p w:rsidR="00A935AD" w:rsidRDefault="00A935AD" w:rsidP="00A935AD">
      <w:pPr>
        <w:spacing w:after="120" w:line="360" w:lineRule="auto"/>
        <w:ind w:left="720" w:hanging="720"/>
        <w:jc w:val="both"/>
        <w:rPr>
          <w:rFonts w:ascii="Arial" w:hAnsi="Arial"/>
          <w:noProof w:val="0"/>
          <w:rtl/>
        </w:rPr>
      </w:pPr>
      <w:r>
        <w:rPr>
          <w:rFonts w:ascii="David" w:hAnsi="David"/>
          <w:noProof w:val="0"/>
          <w:rtl/>
        </w:rPr>
        <w:tab/>
        <w:t>במסגרת הרמ"ש הקודם, הוריתי כי הצדדים ישובו לבית משפט קמא אשר יערוך דיון מחודש וידון לגופן של טענות הצדדים בבקשת ביטול ההחלטה מיום 20.3.22.</w:t>
      </w:r>
    </w:p>
    <w:p w:rsidR="00A935AD" w:rsidRDefault="00A935AD" w:rsidP="00A935AD">
      <w:pPr>
        <w:spacing w:after="120" w:line="360" w:lineRule="auto"/>
        <w:ind w:left="720" w:hanging="720"/>
        <w:jc w:val="both"/>
        <w:rPr>
          <w:rFonts w:ascii="Arial" w:hAnsi="Arial"/>
          <w:noProof w:val="0"/>
          <w:rtl/>
        </w:rPr>
      </w:pPr>
      <w:r>
        <w:rPr>
          <w:rFonts w:ascii="Arial" w:hAnsi="Arial"/>
          <w:noProof w:val="0"/>
          <w:rtl/>
        </w:rPr>
        <w:t>6.</w:t>
      </w:r>
      <w:r>
        <w:rPr>
          <w:rFonts w:ascii="Arial" w:hAnsi="Arial"/>
          <w:noProof w:val="0"/>
          <w:rtl/>
        </w:rPr>
        <w:tab/>
        <w:t xml:space="preserve">המבקשת ביקשה להותיר את זמני השהות המורחבים (הכוללים לינה) עם הקטינים על כנם, וטוענת כי המומחה מטעם בית המשפט, ד"ר גוטליב, הגיש את חוות דעתו בטרם בחן את הרחבת זמני השהות. </w:t>
      </w:r>
    </w:p>
    <w:p w:rsidR="00A935AD" w:rsidRDefault="00A935AD" w:rsidP="00A935AD">
      <w:pPr>
        <w:spacing w:after="120" w:line="360" w:lineRule="auto"/>
        <w:ind w:left="720" w:hanging="720"/>
        <w:jc w:val="both"/>
        <w:rPr>
          <w:rFonts w:ascii="Arial" w:hAnsi="Arial"/>
          <w:noProof w:val="0"/>
          <w:rtl/>
        </w:rPr>
      </w:pPr>
      <w:r>
        <w:rPr>
          <w:rFonts w:ascii="Arial" w:hAnsi="Arial"/>
          <w:noProof w:val="0"/>
          <w:rtl/>
        </w:rPr>
        <w:tab/>
        <w:t xml:space="preserve">המשיב צידד במסקנות חוות דעתו של ד"ר גוטליב וביקש להעניק להן תוקף של החלטה. </w:t>
      </w:r>
    </w:p>
    <w:p w:rsidR="00A935AD" w:rsidRDefault="00A935AD" w:rsidP="00A935AD">
      <w:pPr>
        <w:spacing w:after="120" w:line="360" w:lineRule="auto"/>
        <w:ind w:left="720" w:hanging="720"/>
        <w:jc w:val="both"/>
        <w:rPr>
          <w:rFonts w:ascii="Arial" w:hAnsi="Arial"/>
          <w:noProof w:val="0"/>
          <w:rtl/>
        </w:rPr>
      </w:pPr>
      <w:r>
        <w:rPr>
          <w:rFonts w:ascii="Arial" w:hAnsi="Arial"/>
          <w:noProof w:val="0"/>
          <w:rtl/>
        </w:rPr>
        <w:t>7.</w:t>
      </w:r>
      <w:r>
        <w:rPr>
          <w:rFonts w:ascii="Arial" w:hAnsi="Arial"/>
          <w:noProof w:val="0"/>
          <w:rtl/>
        </w:rPr>
        <w:tab/>
        <w:t>יצוין כי זמני השהות המתקיימים נכון למועד הגשת בקשת רשות הערעור, נקבעו בהחלטת בית המשפט קמא מיום 6.8.2022 והם כדלקמן: בימים שלישי וחמישי בין השעות 17:30 ל- 20:30, כל שבת שניה משעה 15:00 עד 20:00.</w:t>
      </w:r>
    </w:p>
    <w:p w:rsidR="00A935AD" w:rsidRDefault="00A935AD" w:rsidP="00A935AD">
      <w:pPr>
        <w:spacing w:after="120" w:line="360" w:lineRule="auto"/>
        <w:ind w:left="720" w:hanging="720"/>
        <w:jc w:val="both"/>
        <w:rPr>
          <w:rFonts w:ascii="Arial" w:hAnsi="Arial"/>
          <w:noProof w:val="0"/>
          <w:rtl/>
        </w:rPr>
      </w:pPr>
      <w:r>
        <w:rPr>
          <w:rFonts w:ascii="Arial" w:hAnsi="Arial"/>
          <w:noProof w:val="0"/>
          <w:rtl/>
        </w:rPr>
        <w:t>8.</w:t>
      </w:r>
      <w:r>
        <w:rPr>
          <w:rFonts w:ascii="Arial" w:hAnsi="Arial"/>
          <w:noProof w:val="0"/>
          <w:rtl/>
        </w:rPr>
        <w:tab/>
      </w:r>
      <w:r>
        <w:rPr>
          <w:rFonts w:ascii="Arial" w:hAnsi="Arial"/>
          <w:noProof w:val="0"/>
          <w:u w:val="single"/>
          <w:rtl/>
        </w:rPr>
        <w:t>ההחלטה קמא נשוא בקשת רשות הערעור דנן, ניתנה ביום 20.2.2023, ולהלן חלקה הרלוונטי (ההדגשות במקור)</w:t>
      </w:r>
      <w:r>
        <w:rPr>
          <w:rFonts w:ascii="Arial" w:hAnsi="Arial"/>
          <w:noProof w:val="0"/>
          <w:rtl/>
        </w:rPr>
        <w:t>:</w:t>
      </w:r>
    </w:p>
    <w:p w:rsidR="00A935AD" w:rsidRDefault="00A935AD" w:rsidP="00A935AD">
      <w:pPr>
        <w:spacing w:after="120" w:line="360" w:lineRule="auto"/>
        <w:ind w:left="1020" w:right="510"/>
        <w:jc w:val="both"/>
        <w:rPr>
          <w:rFonts w:ascii="Arial" w:hAnsi="Arial"/>
          <w:b/>
          <w:bCs/>
          <w:noProof w:val="0"/>
          <w:sz w:val="22"/>
          <w:szCs w:val="22"/>
        </w:rPr>
      </w:pPr>
      <w:r>
        <w:rPr>
          <w:rFonts w:ascii="Arial" w:hAnsi="Arial"/>
          <w:b/>
          <w:bCs/>
          <w:noProof w:val="0"/>
          <w:sz w:val="22"/>
          <w:szCs w:val="22"/>
          <w:rtl/>
        </w:rPr>
        <w:t xml:space="preserve">"20. ההחלטה מיום 20.3.22 על אימוץ המלצות ד"ר גוטליב מבוטלת, משלא נשמעה </w:t>
      </w:r>
      <w:r>
        <w:rPr>
          <w:rFonts w:ascii="Arial" w:hAnsi="Arial"/>
          <w:b/>
          <w:bCs/>
          <w:noProof w:val="0"/>
          <w:sz w:val="22"/>
          <w:szCs w:val="22"/>
          <w:rtl/>
        </w:rPr>
        <w:tab/>
        <w:t xml:space="preserve">באותה עת עמדת המבקשת.   </w:t>
      </w:r>
    </w:p>
    <w:p w:rsidR="00A935AD" w:rsidRDefault="00A935AD" w:rsidP="00A935AD">
      <w:pPr>
        <w:spacing w:after="120" w:line="360" w:lineRule="auto"/>
        <w:ind w:left="1020" w:right="510"/>
        <w:jc w:val="both"/>
        <w:rPr>
          <w:rFonts w:ascii="Arial" w:hAnsi="Arial"/>
          <w:b/>
          <w:bCs/>
          <w:noProof w:val="0"/>
          <w:sz w:val="22"/>
          <w:szCs w:val="22"/>
          <w:rtl/>
        </w:rPr>
      </w:pPr>
      <w:r>
        <w:rPr>
          <w:rFonts w:ascii="Arial" w:hAnsi="Arial"/>
          <w:b/>
          <w:bCs/>
          <w:noProof w:val="0"/>
          <w:sz w:val="22"/>
          <w:szCs w:val="22"/>
          <w:rtl/>
        </w:rPr>
        <w:t>21.</w:t>
      </w:r>
      <w:r>
        <w:rPr>
          <w:rFonts w:ascii="Arial" w:hAnsi="Arial"/>
          <w:b/>
          <w:bCs/>
          <w:noProof w:val="0"/>
          <w:sz w:val="22"/>
          <w:szCs w:val="22"/>
          <w:rtl/>
        </w:rPr>
        <w:tab/>
        <w:t xml:space="preserve">לטענת המבקשת, עיון בחוות דעתו של הפסיכולוג פאיאנס מעלה כי קיימת </w:t>
      </w:r>
      <w:r>
        <w:rPr>
          <w:rFonts w:ascii="Arial" w:hAnsi="Arial"/>
          <w:b/>
          <w:bCs/>
          <w:noProof w:val="0"/>
          <w:sz w:val="22"/>
          <w:szCs w:val="22"/>
          <w:rtl/>
        </w:rPr>
        <w:tab/>
        <w:t xml:space="preserve">מחלוקת בינו ובין המלצותיו של ד"ר גוטליב בשאלת הדרך הראויה לעיבוי הקשר </w:t>
      </w:r>
      <w:r>
        <w:rPr>
          <w:rFonts w:ascii="Arial" w:hAnsi="Arial"/>
          <w:b/>
          <w:bCs/>
          <w:noProof w:val="0"/>
          <w:sz w:val="22"/>
          <w:szCs w:val="22"/>
          <w:rtl/>
        </w:rPr>
        <w:tab/>
        <w:t xml:space="preserve">בינה ובין הקטינים. נסיבות אלו, אין כל סיבה להעניק לחוות דעתו של ד"ר גוטליב </w:t>
      </w:r>
      <w:r>
        <w:rPr>
          <w:rFonts w:ascii="Arial" w:hAnsi="Arial"/>
          <w:b/>
          <w:bCs/>
          <w:noProof w:val="0"/>
          <w:sz w:val="22"/>
          <w:szCs w:val="22"/>
          <w:rtl/>
        </w:rPr>
        <w:tab/>
        <w:t xml:space="preserve">עדיפות, בטרם התקיים דיון ההוכחות ואין מקום לערוך שינוי בהסדרים הזמניים </w:t>
      </w:r>
      <w:r>
        <w:rPr>
          <w:rFonts w:ascii="Arial" w:hAnsi="Arial"/>
          <w:b/>
          <w:bCs/>
          <w:noProof w:val="0"/>
          <w:sz w:val="22"/>
          <w:szCs w:val="22"/>
          <w:rtl/>
        </w:rPr>
        <w:tab/>
        <w:t xml:space="preserve">שנקבעו בביהמ"ש המחוזי. המשיב בבקשתו, לא טען כל טענה באשר לשינוי </w:t>
      </w:r>
      <w:r>
        <w:rPr>
          <w:rFonts w:ascii="Arial" w:hAnsi="Arial"/>
          <w:b/>
          <w:bCs/>
          <w:noProof w:val="0"/>
          <w:sz w:val="22"/>
          <w:szCs w:val="22"/>
          <w:rtl/>
        </w:rPr>
        <w:tab/>
        <w:t xml:space="preserve">נסיבות כלשהו, אלא הסתמך אך ורק על העדכון של ד"ר גוטליב. </w:t>
      </w:r>
    </w:p>
    <w:p w:rsidR="00A935AD" w:rsidRDefault="00A935AD" w:rsidP="00A935AD">
      <w:pPr>
        <w:spacing w:after="120" w:line="360" w:lineRule="auto"/>
        <w:ind w:left="1020" w:right="510"/>
        <w:jc w:val="both"/>
        <w:rPr>
          <w:rFonts w:ascii="Arial" w:hAnsi="Arial"/>
          <w:b/>
          <w:bCs/>
          <w:noProof w:val="0"/>
          <w:sz w:val="22"/>
          <w:szCs w:val="22"/>
          <w:rtl/>
        </w:rPr>
      </w:pPr>
      <w:r>
        <w:rPr>
          <w:rFonts w:ascii="Arial" w:hAnsi="Arial"/>
          <w:b/>
          <w:bCs/>
          <w:noProof w:val="0"/>
          <w:sz w:val="22"/>
          <w:szCs w:val="22"/>
          <w:rtl/>
        </w:rPr>
        <w:tab/>
        <w:t xml:space="preserve">המבקשת הוסיפה וטענה, כי העדכון של ד"ר גוטליב אינו עוסק כלל ביחסי </w:t>
      </w:r>
      <w:r>
        <w:rPr>
          <w:rFonts w:ascii="Arial" w:hAnsi="Arial"/>
          <w:b/>
          <w:bCs/>
          <w:noProof w:val="0"/>
          <w:sz w:val="22"/>
          <w:szCs w:val="22"/>
          <w:rtl/>
        </w:rPr>
        <w:tab/>
        <w:t xml:space="preserve">המשיב והקטינים ומתבסס על מפגש אינטראקציה אחד ויחיד שהתקיים בטרם </w:t>
      </w:r>
      <w:r>
        <w:rPr>
          <w:rFonts w:ascii="Arial" w:hAnsi="Arial"/>
          <w:b/>
          <w:bCs/>
          <w:noProof w:val="0"/>
          <w:sz w:val="22"/>
          <w:szCs w:val="22"/>
          <w:rtl/>
        </w:rPr>
        <w:tab/>
        <w:t xml:space="preserve">הורחבו הסדרי השהות, בהתאם להחלטת ביהמ"ש המחוזי. העדכון לא נותן </w:t>
      </w:r>
      <w:r>
        <w:rPr>
          <w:rFonts w:ascii="Arial" w:hAnsi="Arial"/>
          <w:b/>
          <w:bCs/>
          <w:noProof w:val="0"/>
          <w:sz w:val="22"/>
          <w:szCs w:val="22"/>
          <w:rtl/>
        </w:rPr>
        <w:tab/>
        <w:t xml:space="preserve">משקל כלשהו לכך שהקשר כבר חודש עם הקטינים ולכך שצמצום המפגשים </w:t>
      </w:r>
      <w:r>
        <w:rPr>
          <w:rFonts w:ascii="Arial" w:hAnsi="Arial"/>
          <w:b/>
          <w:bCs/>
          <w:noProof w:val="0"/>
          <w:sz w:val="22"/>
          <w:szCs w:val="22"/>
          <w:rtl/>
        </w:rPr>
        <w:tab/>
        <w:t xml:space="preserve">יביא לרגרסיה בקשר. אף לא ניתנה כל התייחסות להסתה מטעם המשיב </w:t>
      </w:r>
      <w:r>
        <w:rPr>
          <w:rFonts w:ascii="Arial" w:hAnsi="Arial"/>
          <w:b/>
          <w:bCs/>
          <w:noProof w:val="0"/>
          <w:sz w:val="22"/>
          <w:szCs w:val="22"/>
          <w:rtl/>
        </w:rPr>
        <w:tab/>
        <w:t xml:space="preserve">ולעובדה שהאמור בעדכון מנוסח כנגדה בצורה קיצונית. </w:t>
      </w:r>
    </w:p>
    <w:p w:rsidR="00A935AD" w:rsidRDefault="00A935AD" w:rsidP="00A935AD">
      <w:pPr>
        <w:spacing w:after="120" w:line="360" w:lineRule="auto"/>
        <w:ind w:left="1417" w:right="510" w:hanging="425"/>
        <w:jc w:val="both"/>
        <w:rPr>
          <w:rFonts w:ascii="Arial" w:hAnsi="Arial"/>
          <w:b/>
          <w:bCs/>
          <w:noProof w:val="0"/>
          <w:sz w:val="22"/>
          <w:szCs w:val="22"/>
          <w:rtl/>
        </w:rPr>
      </w:pPr>
      <w:r>
        <w:rPr>
          <w:rFonts w:ascii="Arial" w:hAnsi="Arial"/>
          <w:b/>
          <w:bCs/>
          <w:noProof w:val="0"/>
          <w:sz w:val="22"/>
          <w:szCs w:val="22"/>
          <w:rtl/>
        </w:rPr>
        <w:t>22.</w:t>
      </w:r>
      <w:r>
        <w:rPr>
          <w:rFonts w:ascii="Arial" w:hAnsi="Arial"/>
          <w:b/>
          <w:bCs/>
          <w:noProof w:val="0"/>
          <w:sz w:val="22"/>
          <w:szCs w:val="22"/>
          <w:rtl/>
        </w:rPr>
        <w:tab/>
        <w:t>לטענת המשיב, החלטת ביהמ"ש המחוזי לוקה בחוסר סבירות קיצוני, עת קבע כי</w:t>
      </w:r>
      <w:r>
        <w:rPr>
          <w:rFonts w:ascii="Arial" w:hAnsi="Arial" w:hint="cs"/>
          <w:b/>
          <w:bCs/>
          <w:noProof w:val="0"/>
          <w:sz w:val="22"/>
          <w:szCs w:val="22"/>
          <w:rtl/>
        </w:rPr>
        <w:t xml:space="preserve"> </w:t>
      </w:r>
      <w:r>
        <w:rPr>
          <w:rFonts w:ascii="Arial" w:hAnsi="Arial"/>
          <w:b/>
          <w:bCs/>
          <w:noProof w:val="0"/>
          <w:sz w:val="22"/>
          <w:szCs w:val="22"/>
          <w:rtl/>
        </w:rPr>
        <w:t>הקטינים ילונו אצל המבקשת, כאשר עד לאחרונה נפגשה עמם תחת פיקוח. עוד טען כי תפקידו של מר פאיאנס היה ליתן למבקשת הדרכה הורית בלבד. הוא לא נפגש עמו מעולם, לא הוסמך ואף לא נדרש לבחון את טובת הקטינים. המשקל שניתן להמלצתו הנו מוגזם ומופרך, תוך התעלמות משיקולים אחרים ובעלי משמעות להכרעה בשאלת הרחבת הסדרי השהות.</w:t>
      </w:r>
    </w:p>
    <w:p w:rsidR="00A935AD" w:rsidRDefault="00A935AD" w:rsidP="00A935AD">
      <w:pPr>
        <w:spacing w:after="120" w:line="360" w:lineRule="auto"/>
        <w:ind w:left="1417" w:right="510" w:hanging="397"/>
        <w:jc w:val="both"/>
        <w:rPr>
          <w:rFonts w:ascii="Arial" w:hAnsi="Arial"/>
          <w:b/>
          <w:bCs/>
          <w:noProof w:val="0"/>
          <w:sz w:val="22"/>
          <w:szCs w:val="22"/>
        </w:rPr>
      </w:pPr>
      <w:r>
        <w:rPr>
          <w:rFonts w:ascii="Arial" w:hAnsi="Arial"/>
          <w:b/>
          <w:bCs/>
          <w:noProof w:val="0"/>
          <w:sz w:val="22"/>
          <w:szCs w:val="22"/>
          <w:rtl/>
        </w:rPr>
        <w:lastRenderedPageBreak/>
        <w:t>23.</w:t>
      </w:r>
      <w:r>
        <w:rPr>
          <w:rFonts w:ascii="Arial" w:hAnsi="Arial"/>
          <w:b/>
          <w:bCs/>
          <w:noProof w:val="0"/>
          <w:sz w:val="22"/>
          <w:szCs w:val="22"/>
          <w:rtl/>
        </w:rPr>
        <w:tab/>
        <w:t xml:space="preserve">כמפורט לעיל, ביום 9.3.21 מינה ביהמ"ש המחוזי את ד"ר גוטליב </w:t>
      </w:r>
      <w:r>
        <w:rPr>
          <w:rFonts w:ascii="Arial" w:hAnsi="Arial"/>
          <w:b/>
          <w:bCs/>
          <w:noProof w:val="0"/>
          <w:sz w:val="22"/>
          <w:szCs w:val="22"/>
          <w:u w:val="single"/>
          <w:rtl/>
        </w:rPr>
        <w:t>כמומחה מטעם ביהמ"ש</w:t>
      </w:r>
      <w:r>
        <w:rPr>
          <w:rFonts w:ascii="Arial" w:hAnsi="Arial"/>
          <w:b/>
          <w:bCs/>
          <w:noProof w:val="0"/>
          <w:sz w:val="22"/>
          <w:szCs w:val="22"/>
          <w:rtl/>
        </w:rPr>
        <w:t xml:space="preserve"> שיבחן </w:t>
      </w:r>
      <w:r>
        <w:rPr>
          <w:rFonts w:ascii="Arial" w:hAnsi="Arial"/>
          <w:b/>
          <w:bCs/>
          <w:noProof w:val="0"/>
          <w:sz w:val="22"/>
          <w:szCs w:val="22"/>
          <w:rtl/>
        </w:rPr>
        <w:tab/>
        <w:t xml:space="preserve">את הטענות בדבר מסוכנות המבקשת, ניכור הורי של המשיב, יערוך בדיקת מסוגלות הורית לצדדים ויתן המלצותיו לעניין זמני שהות הקטינים עם כל אחד מההורים. ביום 15.9.21, בהתאם להמלצתו של ד"ר גוטליב, הסמכתי את הפסיכולוג, מר אברהם פאיאנס, </w:t>
      </w:r>
      <w:r>
        <w:rPr>
          <w:rFonts w:ascii="Arial" w:hAnsi="Arial"/>
          <w:b/>
          <w:bCs/>
          <w:noProof w:val="0"/>
          <w:sz w:val="22"/>
          <w:szCs w:val="22"/>
          <w:u w:val="single"/>
          <w:rtl/>
        </w:rPr>
        <w:t>ללוות</w:t>
      </w:r>
      <w:r>
        <w:rPr>
          <w:rFonts w:ascii="Arial" w:hAnsi="Arial"/>
          <w:b/>
          <w:bCs/>
          <w:noProof w:val="0"/>
          <w:sz w:val="22"/>
          <w:szCs w:val="22"/>
          <w:rtl/>
        </w:rPr>
        <w:t xml:space="preserve"> את תהליך עיבוי הקשר בין </w:t>
      </w:r>
      <w:r>
        <w:rPr>
          <w:rFonts w:ascii="Arial" w:hAnsi="Arial"/>
          <w:b/>
          <w:bCs/>
          <w:noProof w:val="0"/>
          <w:sz w:val="22"/>
          <w:szCs w:val="22"/>
          <w:u w:val="single"/>
          <w:rtl/>
        </w:rPr>
        <w:t>המבקשת לבין הקטינים</w:t>
      </w:r>
      <w:r>
        <w:rPr>
          <w:rFonts w:ascii="Arial" w:hAnsi="Arial"/>
          <w:b/>
          <w:bCs/>
          <w:noProof w:val="0"/>
          <w:sz w:val="22"/>
          <w:szCs w:val="22"/>
          <w:rtl/>
        </w:rPr>
        <w:t xml:space="preserve"> אחת לשבוע. הסמכתו של מר פאיאנס נבעה, בין היתר, נוכח היכרותה המוקדמת של המבקשת עמו והיות שמדובר בגורם טיפולי אשר זכה לאמונה.</w:t>
      </w:r>
    </w:p>
    <w:p w:rsidR="00A935AD" w:rsidRDefault="00A935AD" w:rsidP="00A935AD">
      <w:pPr>
        <w:spacing w:after="120" w:line="360" w:lineRule="auto"/>
        <w:ind w:left="1417" w:right="510" w:hanging="425"/>
        <w:jc w:val="both"/>
        <w:rPr>
          <w:rFonts w:ascii="Arial" w:hAnsi="Arial"/>
          <w:b/>
          <w:bCs/>
          <w:noProof w:val="0"/>
          <w:sz w:val="22"/>
          <w:szCs w:val="22"/>
        </w:rPr>
      </w:pPr>
      <w:r>
        <w:rPr>
          <w:rFonts w:ascii="Arial" w:hAnsi="Arial"/>
          <w:b/>
          <w:bCs/>
          <w:noProof w:val="0"/>
          <w:sz w:val="22"/>
          <w:szCs w:val="22"/>
          <w:rtl/>
        </w:rPr>
        <w:t>24.</w:t>
      </w:r>
      <w:r>
        <w:rPr>
          <w:rFonts w:ascii="Arial" w:hAnsi="Arial"/>
          <w:b/>
          <w:bCs/>
          <w:noProof w:val="0"/>
          <w:sz w:val="22"/>
          <w:szCs w:val="22"/>
          <w:rtl/>
        </w:rPr>
        <w:tab/>
        <w:t xml:space="preserve">אינני ממעיטה בחשיבות המלצותיו של הפסיכולוג פאיאנס, אך כאמור ד"ר גוטליב מונה </w:t>
      </w:r>
      <w:r>
        <w:rPr>
          <w:rFonts w:ascii="Arial" w:hAnsi="Arial"/>
          <w:b/>
          <w:bCs/>
          <w:noProof w:val="0"/>
          <w:sz w:val="22"/>
          <w:szCs w:val="22"/>
          <w:u w:val="single"/>
          <w:rtl/>
        </w:rPr>
        <w:t>כמומחה מטעם בית המשפט</w:t>
      </w:r>
      <w:r>
        <w:rPr>
          <w:rFonts w:ascii="Arial" w:hAnsi="Arial"/>
          <w:b/>
          <w:bCs/>
          <w:noProof w:val="0"/>
          <w:sz w:val="22"/>
          <w:szCs w:val="22"/>
          <w:rtl/>
        </w:rPr>
        <w:t xml:space="preserve">, לסייע בתחום מומחיותו </w:t>
      </w:r>
      <w:r>
        <w:rPr>
          <w:rFonts w:ascii="Arial" w:hAnsi="Arial"/>
          <w:b/>
          <w:bCs/>
          <w:noProof w:val="0"/>
          <w:sz w:val="22"/>
          <w:szCs w:val="22"/>
          <w:u w:val="single"/>
          <w:rtl/>
        </w:rPr>
        <w:t>כגורם מקצועי וניטרלי.</w:t>
      </w:r>
      <w:r>
        <w:rPr>
          <w:rFonts w:ascii="Arial" w:hAnsi="Arial"/>
          <w:b/>
          <w:bCs/>
          <w:noProof w:val="0"/>
          <w:sz w:val="22"/>
          <w:szCs w:val="22"/>
          <w:rtl/>
        </w:rPr>
        <w:t xml:space="preserve"> הוא מונה, בין היתר, בכדי ליתן המלצותיו לעניין זמני השהות של הקטינים עם כל אחד מהצדדים. </w:t>
      </w:r>
    </w:p>
    <w:p w:rsidR="00A935AD" w:rsidRDefault="00A935AD" w:rsidP="00A935AD">
      <w:pPr>
        <w:spacing w:after="120" w:line="360" w:lineRule="auto"/>
        <w:ind w:left="1417" w:right="510" w:hanging="283"/>
        <w:jc w:val="both"/>
        <w:rPr>
          <w:rFonts w:ascii="Arial" w:hAnsi="Arial"/>
          <w:b/>
          <w:bCs/>
          <w:noProof w:val="0"/>
          <w:sz w:val="22"/>
          <w:szCs w:val="22"/>
          <w:rtl/>
        </w:rPr>
      </w:pPr>
      <w:r>
        <w:rPr>
          <w:rFonts w:ascii="Arial" w:hAnsi="Arial"/>
          <w:b/>
          <w:bCs/>
          <w:noProof w:val="0"/>
          <w:sz w:val="22"/>
          <w:szCs w:val="22"/>
          <w:rtl/>
        </w:rPr>
        <w:t>...</w:t>
      </w:r>
    </w:p>
    <w:p w:rsidR="00A935AD" w:rsidRDefault="00A935AD" w:rsidP="00A935AD">
      <w:pPr>
        <w:spacing w:after="120" w:line="360" w:lineRule="auto"/>
        <w:ind w:left="1417" w:right="510" w:hanging="425"/>
        <w:jc w:val="both"/>
        <w:rPr>
          <w:rFonts w:ascii="Arial" w:hAnsi="Arial"/>
          <w:b/>
          <w:bCs/>
          <w:noProof w:val="0"/>
          <w:sz w:val="22"/>
          <w:szCs w:val="22"/>
          <w:rtl/>
        </w:rPr>
      </w:pPr>
      <w:r>
        <w:rPr>
          <w:rFonts w:ascii="Arial" w:hAnsi="Arial"/>
          <w:b/>
          <w:bCs/>
          <w:noProof w:val="0"/>
          <w:sz w:val="22"/>
          <w:szCs w:val="22"/>
          <w:rtl/>
        </w:rPr>
        <w:t>25.</w:t>
      </w:r>
      <w:r>
        <w:rPr>
          <w:rFonts w:ascii="Arial" w:hAnsi="Arial"/>
          <w:b/>
          <w:bCs/>
          <w:noProof w:val="0"/>
          <w:sz w:val="22"/>
          <w:szCs w:val="22"/>
          <w:rtl/>
        </w:rPr>
        <w:tab/>
        <w:t xml:space="preserve">המבקשת עותרת להותיר את החלטת ביהמ"ש המחוזי באשר להרחבת זמני השהות על כנה, אך כאמור, ביהמ"ש המחוזי נתן החלטתו </w:t>
      </w:r>
      <w:r>
        <w:rPr>
          <w:rFonts w:ascii="Arial" w:hAnsi="Arial"/>
          <w:b/>
          <w:bCs/>
          <w:noProof w:val="0"/>
          <w:sz w:val="22"/>
          <w:szCs w:val="22"/>
          <w:u w:val="single"/>
          <w:rtl/>
        </w:rPr>
        <w:t>בטרם</w:t>
      </w:r>
      <w:r>
        <w:rPr>
          <w:rFonts w:ascii="Arial" w:hAnsi="Arial"/>
          <w:b/>
          <w:bCs/>
          <w:noProof w:val="0"/>
          <w:sz w:val="22"/>
          <w:szCs w:val="22"/>
          <w:rtl/>
        </w:rPr>
        <w:t xml:space="preserve"> הונחה לפניו חוות דעתו של ד"ר גוטליב. ד"ר גוטליב נתן המלצתו לאחר התרשמותו משני הצדדים.</w:t>
      </w:r>
    </w:p>
    <w:p w:rsidR="00A935AD" w:rsidRDefault="00A935AD" w:rsidP="00A935AD">
      <w:pPr>
        <w:spacing w:after="120" w:line="360" w:lineRule="auto"/>
        <w:ind w:left="1417" w:right="510" w:hanging="425"/>
        <w:jc w:val="both"/>
        <w:rPr>
          <w:rFonts w:ascii="Arial" w:hAnsi="Arial"/>
          <w:b/>
          <w:bCs/>
          <w:noProof w:val="0"/>
          <w:sz w:val="22"/>
          <w:szCs w:val="22"/>
          <w:rtl/>
        </w:rPr>
      </w:pPr>
      <w:r>
        <w:rPr>
          <w:b/>
          <w:bCs/>
          <w:sz w:val="22"/>
          <w:szCs w:val="22"/>
          <w:rtl/>
        </w:rPr>
        <w:t>...</w:t>
      </w:r>
    </w:p>
    <w:p w:rsidR="00A935AD" w:rsidRDefault="00A935AD" w:rsidP="00A935AD">
      <w:pPr>
        <w:spacing w:after="120" w:line="360" w:lineRule="auto"/>
        <w:ind w:left="1417" w:right="510" w:hanging="425"/>
        <w:jc w:val="both"/>
        <w:rPr>
          <w:rFonts w:ascii="Arial" w:hAnsi="Arial"/>
          <w:b/>
          <w:bCs/>
          <w:noProof w:val="0"/>
          <w:sz w:val="22"/>
          <w:szCs w:val="22"/>
          <w:rtl/>
        </w:rPr>
      </w:pPr>
      <w:r>
        <w:rPr>
          <w:rFonts w:ascii="Arial" w:hAnsi="Arial"/>
          <w:b/>
          <w:bCs/>
          <w:noProof w:val="0"/>
          <w:sz w:val="22"/>
          <w:szCs w:val="22"/>
          <w:rtl/>
        </w:rPr>
        <w:tab/>
        <w:t>המבקשת טענה, כי חוות דעתו של ד"ר גוטליב הוגשה בטרם בחן את הרחבת הסדרי השהות, כפי שקבע ביהמ"ש המחוזי. החלטת ביהמ"ש המחוזי ניתנה בחודש פברואר 2022, כאשר חוות דעתו של ד"ר גוטליב הוגשה כחודש לאחר מכן. איני סבורה כי בפרק זמן של חודש ימים ניתן לבחון בצורה מיטבית כיצד ההרחבה השפיעה על הקטינים.</w:t>
      </w:r>
    </w:p>
    <w:p w:rsidR="00A935AD" w:rsidRDefault="00A935AD" w:rsidP="00A935AD">
      <w:pPr>
        <w:spacing w:after="120" w:line="360" w:lineRule="auto"/>
        <w:ind w:left="1417" w:right="510" w:hanging="397"/>
        <w:jc w:val="both"/>
        <w:rPr>
          <w:rFonts w:ascii="Arial" w:hAnsi="Arial"/>
          <w:b/>
          <w:bCs/>
          <w:noProof w:val="0"/>
          <w:sz w:val="22"/>
          <w:szCs w:val="22"/>
          <w:rtl/>
        </w:rPr>
      </w:pPr>
      <w:r>
        <w:rPr>
          <w:rFonts w:ascii="Arial" w:hAnsi="Arial"/>
          <w:b/>
          <w:bCs/>
          <w:noProof w:val="0"/>
          <w:sz w:val="22"/>
          <w:szCs w:val="22"/>
          <w:rtl/>
        </w:rPr>
        <w:t>26.</w:t>
      </w:r>
      <w:r>
        <w:rPr>
          <w:rFonts w:ascii="Arial" w:hAnsi="Arial"/>
          <w:b/>
          <w:bCs/>
          <w:noProof w:val="0"/>
          <w:sz w:val="22"/>
          <w:szCs w:val="22"/>
          <w:rtl/>
        </w:rPr>
        <w:tab/>
        <w:t xml:space="preserve">ד"ר גוטליב המליץ להחליף את הגורם הטיפולי, כך שימונה גורם אשר אין לו קשר קודם עם בני המשפחה, שכן לשיטתו יהיה נכון יותר לאפשר למבקשת לשמור על המקום הטיפולי האישי בנפרד מהטיפול בקטינים ובכך לאפשר לקטינים טיפול מגורם אשר אינו מזוהה עם צד זה או אחר. </w:t>
      </w:r>
    </w:p>
    <w:p w:rsidR="00A935AD" w:rsidRDefault="00A935AD" w:rsidP="00A935AD">
      <w:pPr>
        <w:spacing w:after="120" w:line="360" w:lineRule="auto"/>
        <w:ind w:left="1417" w:right="510" w:hanging="397"/>
        <w:jc w:val="both"/>
        <w:rPr>
          <w:rFonts w:ascii="Arial" w:hAnsi="Arial"/>
          <w:b/>
          <w:bCs/>
          <w:noProof w:val="0"/>
          <w:sz w:val="22"/>
          <w:szCs w:val="22"/>
          <w:rtl/>
        </w:rPr>
      </w:pPr>
      <w:r>
        <w:rPr>
          <w:rFonts w:ascii="Arial" w:hAnsi="Arial"/>
          <w:b/>
          <w:bCs/>
          <w:noProof w:val="0"/>
          <w:sz w:val="22"/>
          <w:szCs w:val="22"/>
          <w:rtl/>
        </w:rPr>
        <w:tab/>
        <w:t xml:space="preserve">המבקשת התנגדה להמלצה זו. לטענתה, אין להעדיף את דעתו המקצועית של ד"ר גוטליב על פני הפסיכולוג פאיאנס, רק בגלל שהם חלוקים בדעתם. כן הוסיפה, כי בניגוד לד"ר גוטליב, הפסיכולוג פאיאנס פגש את הקטינים פעמים רבות בביתה. הקטינים מכירים את הפסיכולוג וגורם חדש יעכב את הטיפול. הנימוק כי יש למנות גורם אשר אין לו קשר קודם עם בני המשפחה, נדחה כבר על ידי בית המשפט ואין לקבל המלצה הנוגדת הכרעה זו. </w:t>
      </w:r>
    </w:p>
    <w:p w:rsidR="00A935AD" w:rsidRDefault="00A935AD" w:rsidP="00A935AD">
      <w:pPr>
        <w:spacing w:after="120" w:line="360" w:lineRule="auto"/>
        <w:ind w:left="1417" w:right="510" w:hanging="397"/>
        <w:jc w:val="both"/>
        <w:rPr>
          <w:rFonts w:ascii="Arial" w:hAnsi="Arial"/>
          <w:b/>
          <w:bCs/>
          <w:noProof w:val="0"/>
          <w:sz w:val="22"/>
          <w:szCs w:val="22"/>
          <w:rtl/>
        </w:rPr>
      </w:pPr>
    </w:p>
    <w:p w:rsidR="00A935AD" w:rsidRDefault="00A935AD" w:rsidP="00A935AD">
      <w:pPr>
        <w:spacing w:after="120" w:line="360" w:lineRule="auto"/>
        <w:ind w:left="1417" w:right="510" w:hanging="397"/>
        <w:jc w:val="both"/>
        <w:rPr>
          <w:rFonts w:ascii="Arial" w:hAnsi="Arial"/>
          <w:b/>
          <w:bCs/>
          <w:noProof w:val="0"/>
          <w:sz w:val="22"/>
          <w:szCs w:val="22"/>
          <w:rtl/>
        </w:rPr>
      </w:pPr>
      <w:r>
        <w:rPr>
          <w:rFonts w:ascii="Arial" w:hAnsi="Arial"/>
          <w:b/>
          <w:bCs/>
          <w:noProof w:val="0"/>
          <w:sz w:val="22"/>
          <w:szCs w:val="22"/>
          <w:rtl/>
        </w:rPr>
        <w:lastRenderedPageBreak/>
        <w:t>27.</w:t>
      </w:r>
      <w:r>
        <w:rPr>
          <w:rFonts w:ascii="Arial" w:hAnsi="Arial"/>
          <w:b/>
          <w:bCs/>
          <w:noProof w:val="0"/>
          <w:sz w:val="22"/>
          <w:szCs w:val="22"/>
          <w:rtl/>
        </w:rPr>
        <w:tab/>
        <w:t xml:space="preserve">נוכח חלוף הזמן שעבר מאז שהוגשה חוות הדעת הנ"ל, בחודש מרץ 2022, אני מורה כי ד"ר גוטליב יגיש </w:t>
      </w:r>
      <w:r>
        <w:rPr>
          <w:rFonts w:ascii="Arial" w:hAnsi="Arial"/>
          <w:b/>
          <w:bCs/>
          <w:noProof w:val="0"/>
          <w:sz w:val="22"/>
          <w:szCs w:val="22"/>
          <w:u w:val="single"/>
          <w:rtl/>
        </w:rPr>
        <w:t>עד ליום 5.3.23</w:t>
      </w:r>
      <w:r>
        <w:rPr>
          <w:rFonts w:ascii="Arial" w:hAnsi="Arial"/>
          <w:b/>
          <w:bCs/>
          <w:noProof w:val="0"/>
          <w:sz w:val="22"/>
          <w:szCs w:val="22"/>
          <w:rtl/>
        </w:rPr>
        <w:t xml:space="preserve">, דיווח עדכני אודות אופן קיום זמני השהות בין המבקשת לקטינים כיום. כמו כן, לאור העובדה כי הפסיכולוג פאיאנס מלווה את המבקשת והקטינים מזה תקופה ארוכה, ד"ר גוטליב יעדכן האם המלצתו בעניין החלפת הגורם הטיפולי בעינה עומדת.  </w:t>
      </w:r>
    </w:p>
    <w:p w:rsidR="00A935AD" w:rsidRDefault="00A935AD" w:rsidP="00A935AD">
      <w:pPr>
        <w:spacing w:after="120" w:line="360" w:lineRule="auto"/>
        <w:ind w:left="1020" w:right="510" w:hanging="720"/>
        <w:jc w:val="both"/>
        <w:rPr>
          <w:b/>
          <w:bCs/>
          <w:sz w:val="22"/>
          <w:szCs w:val="22"/>
          <w:rtl/>
        </w:rPr>
      </w:pPr>
      <w:r>
        <w:rPr>
          <w:rFonts w:ascii="Arial" w:hAnsi="Arial"/>
          <w:b/>
          <w:bCs/>
          <w:noProof w:val="0"/>
          <w:sz w:val="22"/>
          <w:szCs w:val="22"/>
          <w:rtl/>
        </w:rPr>
        <w:tab/>
        <w:t>..."</w:t>
      </w:r>
    </w:p>
    <w:p w:rsidR="00A935AD" w:rsidRDefault="00A935AD" w:rsidP="00A935AD">
      <w:pPr>
        <w:spacing w:after="120" w:line="360" w:lineRule="auto"/>
        <w:ind w:right="567"/>
        <w:jc w:val="both"/>
        <w:rPr>
          <w:rFonts w:ascii="Arial" w:hAnsi="Arial"/>
          <w:noProof w:val="0"/>
        </w:rPr>
      </w:pPr>
      <w:r>
        <w:rPr>
          <w:rFonts w:ascii="Arial" w:hAnsi="Arial"/>
          <w:noProof w:val="0"/>
          <w:rtl/>
        </w:rPr>
        <w:tab/>
      </w:r>
    </w:p>
    <w:p w:rsidR="00A935AD" w:rsidRDefault="00A935AD" w:rsidP="00A935AD">
      <w:pPr>
        <w:spacing w:after="120" w:line="360" w:lineRule="auto"/>
        <w:ind w:left="720" w:hanging="720"/>
        <w:jc w:val="both"/>
        <w:rPr>
          <w:rFonts w:ascii="David" w:hAnsi="David"/>
          <w:rtl/>
        </w:rPr>
      </w:pPr>
      <w:r>
        <w:rPr>
          <w:rFonts w:ascii="David" w:hAnsi="David"/>
          <w:b/>
          <w:bCs/>
          <w:u w:val="single"/>
          <w:rtl/>
        </w:rPr>
        <w:t>טענות המבקשת בבקשת רשות הערעור</w:t>
      </w:r>
    </w:p>
    <w:p w:rsidR="00A935AD" w:rsidRDefault="00A935AD" w:rsidP="00A935AD">
      <w:pPr>
        <w:spacing w:after="120" w:line="360" w:lineRule="auto"/>
        <w:ind w:left="720" w:hanging="720"/>
        <w:jc w:val="both"/>
        <w:rPr>
          <w:rFonts w:ascii="David" w:hAnsi="David"/>
          <w:rtl/>
        </w:rPr>
      </w:pPr>
      <w:r>
        <w:rPr>
          <w:rFonts w:ascii="David" w:hAnsi="David"/>
          <w:rtl/>
        </w:rPr>
        <w:t>9.</w:t>
      </w:r>
      <w:r>
        <w:rPr>
          <w:rFonts w:ascii="David" w:hAnsi="David"/>
          <w:rtl/>
        </w:rPr>
        <w:tab/>
      </w:r>
      <w:r>
        <w:rPr>
          <w:rFonts w:ascii="David" w:hAnsi="David"/>
          <w:u w:val="single"/>
          <w:rtl/>
        </w:rPr>
        <w:t>להלן תמצית טענות המבקשת</w:t>
      </w:r>
      <w:r>
        <w:rPr>
          <w:rFonts w:ascii="David" w:hAnsi="David"/>
          <w:rtl/>
        </w:rPr>
        <w:t>:</w:t>
      </w:r>
    </w:p>
    <w:p w:rsidR="00A935AD" w:rsidRDefault="00A935AD" w:rsidP="00A935AD">
      <w:pPr>
        <w:spacing w:after="120" w:line="360" w:lineRule="auto"/>
        <w:ind w:left="1440" w:hanging="720"/>
        <w:jc w:val="both"/>
        <w:rPr>
          <w:rFonts w:ascii="David" w:hAnsi="David"/>
          <w:rtl/>
        </w:rPr>
      </w:pPr>
      <w:r>
        <w:rPr>
          <w:rFonts w:ascii="David" w:hAnsi="David"/>
          <w:rtl/>
        </w:rPr>
        <w:t>א.</w:t>
      </w:r>
      <w:r>
        <w:rPr>
          <w:rFonts w:ascii="David" w:hAnsi="David"/>
          <w:rtl/>
        </w:rPr>
        <w:tab/>
        <w:t>שגה בית משפט קמא עת הורה כי זמני השהות של הקטינים עם המבקשת יתקיימו ברחוב בימים שני וחמישי למשך שלוש שעות בכל פעם, ובכל שבת שנייה למשך חמש שעות בלבד בביתה של המבקשת. מדובר בזמני שהות מצומצמים וחריגים.</w:t>
      </w:r>
    </w:p>
    <w:p w:rsidR="00A935AD" w:rsidRDefault="00A935AD" w:rsidP="00A935AD">
      <w:pPr>
        <w:spacing w:after="120" w:line="360" w:lineRule="auto"/>
        <w:ind w:left="1440" w:hanging="720"/>
        <w:jc w:val="both"/>
        <w:rPr>
          <w:rFonts w:ascii="David" w:hAnsi="David"/>
          <w:rtl/>
        </w:rPr>
      </w:pPr>
      <w:r>
        <w:rPr>
          <w:rFonts w:ascii="David" w:hAnsi="David"/>
          <w:rtl/>
        </w:rPr>
        <w:t>ב.</w:t>
      </w:r>
      <w:r>
        <w:rPr>
          <w:rFonts w:ascii="David" w:hAnsi="David"/>
          <w:rtl/>
        </w:rPr>
        <w:tab/>
        <w:t>כל טענות המסוכנות שהעלה המשיב וטענותיו באשר למצבה הנפשי של המבקשת נדחו על ידי כל המומחים בתיק קמא, ומבלי שישנה הצדקה אחרת לזמני שהות בהיקף כה מצומצם.</w:t>
      </w:r>
    </w:p>
    <w:p w:rsidR="00A935AD" w:rsidRDefault="00A935AD" w:rsidP="00A935AD">
      <w:pPr>
        <w:spacing w:after="120" w:line="360" w:lineRule="auto"/>
        <w:ind w:left="1440" w:hanging="720"/>
        <w:jc w:val="both"/>
        <w:rPr>
          <w:rFonts w:ascii="David" w:hAnsi="David"/>
          <w:rtl/>
        </w:rPr>
      </w:pPr>
      <w:r>
        <w:rPr>
          <w:rFonts w:ascii="David" w:hAnsi="David"/>
          <w:rtl/>
        </w:rPr>
        <w:t>ג.</w:t>
      </w:r>
      <w:r>
        <w:rPr>
          <w:rFonts w:ascii="David" w:hAnsi="David"/>
          <w:rtl/>
        </w:rPr>
        <w:tab/>
        <w:t>עיון בהחלטה קמא מלמד, כי ניתן בה משקל לטיעון אחד ויחיד והוא כי ד"ר גוטליב מונה כמומחה בית המשפט, בעוד הפסיכולוג פאיאנס מונה כגורם שנועד לל</w:t>
      </w:r>
      <w:r w:rsidR="00673928">
        <w:rPr>
          <w:rFonts w:ascii="David" w:hAnsi="David" w:hint="cs"/>
          <w:rtl/>
        </w:rPr>
        <w:t>ו</w:t>
      </w:r>
      <w:r w:rsidR="00673928">
        <w:rPr>
          <w:rFonts w:ascii="David" w:hAnsi="David"/>
          <w:rtl/>
        </w:rPr>
        <w:t>ות את תהליך עיב</w:t>
      </w:r>
      <w:r>
        <w:rPr>
          <w:rFonts w:ascii="David" w:hAnsi="David"/>
          <w:rtl/>
        </w:rPr>
        <w:t>וי הקשר בין המבקשת לקטינים. בית משפט קמא כלל לא נדרש לטענות המבקשת נגד חוות דעתו של ד"ר גוטליב לגופו של עניין, ובעיקר נגד המסקנות שהסיק ד"ר גוטליב מהממצאים העובדתיים שקבע.</w:t>
      </w:r>
    </w:p>
    <w:p w:rsidR="00A935AD" w:rsidRDefault="00A935AD" w:rsidP="00A935AD">
      <w:pPr>
        <w:spacing w:after="120" w:line="360" w:lineRule="auto"/>
        <w:ind w:left="1440" w:hanging="720"/>
        <w:jc w:val="both"/>
        <w:rPr>
          <w:rFonts w:ascii="David" w:hAnsi="David"/>
          <w:rtl/>
        </w:rPr>
      </w:pPr>
      <w:r>
        <w:rPr>
          <w:rFonts w:ascii="David" w:hAnsi="David"/>
          <w:rtl/>
        </w:rPr>
        <w:t>ד.</w:t>
      </w:r>
      <w:r>
        <w:rPr>
          <w:rFonts w:ascii="David" w:hAnsi="David"/>
          <w:rtl/>
        </w:rPr>
        <w:tab/>
        <w:t xml:space="preserve">יוזכר כי מר פאיאנס מונה על ידי בית משפט קמא, בעקבות המלצת ד"ר גוטליב, ועל בית משפט קמא ליתן לחוות דעתו של מר פאיאנס מעמד שווה לזה של ד"ר גוטליב, ולא לייחס לה משקל נמוך יותר באופן אפריורי, כפי שנעשה בהחלטה קמא. </w:t>
      </w:r>
    </w:p>
    <w:p w:rsidR="00A935AD" w:rsidRDefault="00A935AD" w:rsidP="00A935AD">
      <w:pPr>
        <w:spacing w:after="120" w:line="360" w:lineRule="auto"/>
        <w:ind w:left="1440" w:hanging="720"/>
        <w:jc w:val="both"/>
        <w:rPr>
          <w:rFonts w:ascii="David" w:hAnsi="David"/>
          <w:rtl/>
        </w:rPr>
      </w:pPr>
    </w:p>
    <w:p w:rsidR="00A935AD" w:rsidRDefault="00A935AD" w:rsidP="00A935AD">
      <w:pPr>
        <w:spacing w:after="120" w:line="360" w:lineRule="auto"/>
        <w:jc w:val="both"/>
        <w:rPr>
          <w:rFonts w:ascii="David" w:hAnsi="David"/>
          <w:b/>
          <w:bCs/>
          <w:u w:val="single"/>
          <w:rtl/>
        </w:rPr>
      </w:pPr>
      <w:r>
        <w:rPr>
          <w:rFonts w:ascii="David" w:hAnsi="David"/>
          <w:b/>
          <w:bCs/>
          <w:u w:val="single"/>
          <w:rtl/>
        </w:rPr>
        <w:t>טענות המשיב בבקשת רשות הערעור</w:t>
      </w:r>
    </w:p>
    <w:p w:rsidR="00A935AD" w:rsidRDefault="00A935AD" w:rsidP="00A935AD">
      <w:pPr>
        <w:spacing w:after="120" w:line="360" w:lineRule="auto"/>
        <w:ind w:left="720" w:hanging="720"/>
        <w:jc w:val="both"/>
        <w:rPr>
          <w:rFonts w:ascii="David" w:hAnsi="David"/>
          <w:rtl/>
        </w:rPr>
      </w:pPr>
      <w:r>
        <w:rPr>
          <w:rFonts w:ascii="David" w:hAnsi="David"/>
          <w:rtl/>
        </w:rPr>
        <w:t>10.</w:t>
      </w:r>
      <w:r>
        <w:rPr>
          <w:rFonts w:ascii="David" w:hAnsi="David"/>
          <w:rtl/>
        </w:rPr>
        <w:tab/>
      </w:r>
      <w:r>
        <w:rPr>
          <w:rFonts w:ascii="David" w:hAnsi="David"/>
          <w:u w:val="single"/>
          <w:rtl/>
        </w:rPr>
        <w:t xml:space="preserve">ביקשתי, וקיבלתי, את תשובת המשיב לבקשת רשות הערעור. להלן תמצית טענותיו: </w:t>
      </w:r>
    </w:p>
    <w:p w:rsidR="00A935AD" w:rsidRDefault="00A935AD" w:rsidP="00A935AD">
      <w:pPr>
        <w:spacing w:after="120" w:line="360" w:lineRule="auto"/>
        <w:ind w:left="1559" w:hanging="851"/>
        <w:jc w:val="both"/>
        <w:rPr>
          <w:rFonts w:ascii="David" w:hAnsi="David"/>
          <w:rtl/>
        </w:rPr>
      </w:pPr>
      <w:r>
        <w:rPr>
          <w:rFonts w:ascii="David" w:hAnsi="David"/>
          <w:rtl/>
        </w:rPr>
        <w:t>א.</w:t>
      </w:r>
      <w:r>
        <w:rPr>
          <w:rFonts w:ascii="David" w:hAnsi="David"/>
          <w:rtl/>
        </w:rPr>
        <w:tab/>
        <w:t xml:space="preserve">בקשת רשות הערעור דנן היא לכאורה בשאלה האם יש לבטל את ההחלטה קמא, שקבעה כי הסדרי השהות של המבקשת עם הקטינים יתקיימו בהתאם להמלצות ד"ר גוטליב. בפועל, מדובר בבקשת רשות ערעור חוזרת, על החלטה מיום 6.8.22 שהרחיבה את זמני השהות – ולא ניתן לערער עליה, משחלף המועד הקבוע </w:t>
      </w:r>
      <w:r>
        <w:rPr>
          <w:rFonts w:ascii="David" w:hAnsi="David"/>
          <w:rtl/>
        </w:rPr>
        <w:lastRenderedPageBreak/>
        <w:t>בתקנות לעשות כן. ואולם, ממילא מדובר בהחלטה זמנית הקובעת את זמני השהות.</w:t>
      </w:r>
    </w:p>
    <w:p w:rsidR="00A935AD" w:rsidRDefault="00A935AD" w:rsidP="00A935AD">
      <w:pPr>
        <w:spacing w:after="120" w:line="360" w:lineRule="auto"/>
        <w:ind w:left="1559" w:hanging="851"/>
        <w:jc w:val="both"/>
        <w:rPr>
          <w:rFonts w:ascii="David" w:hAnsi="David"/>
          <w:rtl/>
        </w:rPr>
      </w:pPr>
      <w:r>
        <w:rPr>
          <w:rFonts w:ascii="David" w:hAnsi="David"/>
          <w:rtl/>
        </w:rPr>
        <w:t>ב.</w:t>
      </w:r>
      <w:r>
        <w:rPr>
          <w:rFonts w:ascii="David" w:hAnsi="David"/>
          <w:rtl/>
        </w:rPr>
        <w:tab/>
        <w:t>המבקשת היא זו שפוגעת במו ידיה בקשר שלה עם הקטינים – מחמיצה זמני שהות עמם, בוחרת לא לשהות עמם, מתנהגת כלפיהם באופן קשה, מפעילה אלימות מילולית ורגשית ונוהגת בחוסר אחריות עמם.</w:t>
      </w:r>
    </w:p>
    <w:p w:rsidR="00A935AD" w:rsidRDefault="00A935AD" w:rsidP="00A935AD">
      <w:pPr>
        <w:spacing w:after="120" w:line="360" w:lineRule="auto"/>
        <w:ind w:left="1559" w:hanging="851"/>
        <w:jc w:val="both"/>
        <w:rPr>
          <w:rFonts w:ascii="David" w:hAnsi="David"/>
          <w:rtl/>
        </w:rPr>
      </w:pPr>
      <w:r>
        <w:rPr>
          <w:rFonts w:ascii="David" w:hAnsi="David"/>
          <w:rtl/>
        </w:rPr>
        <w:t>ג.</w:t>
      </w:r>
      <w:r>
        <w:rPr>
          <w:rFonts w:ascii="David" w:hAnsi="David"/>
          <w:rtl/>
        </w:rPr>
        <w:tab/>
        <w:t xml:space="preserve">ד"ר גוטליב הגיש חוות דעת עדכנית לתיק קמא בחודש מרץ 2023, והמבקשת נמנעה מלצרפו לבקשת רשות הערעור, משום שהיא מבקשת להסתיר את תוכנה. ד"ר גוטליב ציין במסגרת אותה חוות דעת, כי לא ניתן להצביע על התקדמות או שינוי אצל המבקשת; הקטינים כמהים לקשר מיטיב עם המבקשת אך היא איננה מסוגלת לתת להם מענה הולם, עקבי ורגיש מספיק לצרכיהם. </w:t>
      </w:r>
    </w:p>
    <w:p w:rsidR="00A935AD" w:rsidRDefault="00A935AD" w:rsidP="00A935AD">
      <w:pPr>
        <w:spacing w:after="120" w:line="360" w:lineRule="auto"/>
        <w:ind w:left="1559" w:hanging="851"/>
        <w:jc w:val="both"/>
        <w:rPr>
          <w:rFonts w:ascii="David" w:hAnsi="David"/>
          <w:rtl/>
        </w:rPr>
      </w:pPr>
      <w:r>
        <w:rPr>
          <w:rFonts w:ascii="David" w:hAnsi="David"/>
          <w:rtl/>
        </w:rPr>
        <w:t>ד.</w:t>
      </w:r>
      <w:r>
        <w:rPr>
          <w:rFonts w:ascii="David" w:hAnsi="David"/>
          <w:rtl/>
        </w:rPr>
        <w:tab/>
        <w:t>ד"ר גוטליב הוא המומחה אשר מונה על ידי בית המשפט ליתן חוות דעתו המקצועית, אשר התעדכנה ומתעדכנת עם התקדמות ההליך; מר פאיאנס הוא המטפל האישי הפרטי של המבקשת, שנועד ליתן לה הדרכה הורית ובית משפט קמא הסכים כי ילווה את מפגשי המבקשת עם הקטינים, ללא סמכויות אחרות ומבלי שהוסמך ליתן חוות דעת.</w:t>
      </w:r>
    </w:p>
    <w:p w:rsidR="00A935AD" w:rsidRDefault="00A935AD" w:rsidP="00A935AD">
      <w:pPr>
        <w:spacing w:after="120" w:line="360" w:lineRule="auto"/>
        <w:ind w:left="1559" w:hanging="851"/>
        <w:jc w:val="both"/>
        <w:rPr>
          <w:rFonts w:ascii="David" w:hAnsi="David"/>
          <w:rtl/>
        </w:rPr>
      </w:pPr>
      <w:r>
        <w:rPr>
          <w:rFonts w:ascii="David" w:hAnsi="David"/>
          <w:rtl/>
        </w:rPr>
        <w:t>ה.</w:t>
      </w:r>
      <w:r>
        <w:rPr>
          <w:rFonts w:ascii="David" w:hAnsi="David"/>
          <w:rtl/>
        </w:rPr>
        <w:tab/>
        <w:t>בשלוש חוות הדעת שהוגשו לתיק קמא על ידי ד"ר גוטליב, הומלץ על גורם טיפולי מלווה למבקשת ולקטינים, אשר יהיה אחראי על עיבוי הקשר בהדרגה בהתאם לשיקול דעתו המקצועי. מדובר בהמלצה שעברה כחוט השני בכל חוות הדעת. ואולם בפועל, הצליחה המבקשת, באמצעות תעלולים משפטיים, שלא ליישם המלצה זו באופן מלא כך שהמבקשת נפגשה עם הקטינים ללא ליווי צמוד של גורם טיפולי מקצועי.</w:t>
      </w:r>
    </w:p>
    <w:p w:rsidR="00A935AD" w:rsidRDefault="00A935AD" w:rsidP="00B262A7">
      <w:pPr>
        <w:spacing w:after="120" w:line="360" w:lineRule="auto"/>
        <w:ind w:left="1559" w:hanging="851"/>
        <w:jc w:val="both"/>
        <w:rPr>
          <w:rFonts w:ascii="David" w:hAnsi="David"/>
          <w:rtl/>
        </w:rPr>
      </w:pPr>
      <w:r>
        <w:rPr>
          <w:rFonts w:ascii="David" w:hAnsi="David"/>
          <w:rtl/>
        </w:rPr>
        <w:t>ו.</w:t>
      </w:r>
      <w:r>
        <w:rPr>
          <w:rFonts w:ascii="David" w:hAnsi="David"/>
          <w:rtl/>
        </w:rPr>
        <w:tab/>
        <w:t>בכל הנוגע לבקשת רשות הערעור, אין טעם לדון בטענות שאינן רלוונטיות, שנטענו לפני קבלת העידכון מד"ר גוטליב וממילא יידונו בבית משפט קמא, בדיון ש</w:t>
      </w:r>
      <w:r w:rsidR="00B262A7">
        <w:rPr>
          <w:rFonts w:ascii="David" w:hAnsi="David" w:hint="cs"/>
          <w:rtl/>
        </w:rPr>
        <w:t>אמור לה</w:t>
      </w:r>
      <w:r>
        <w:rPr>
          <w:rFonts w:ascii="David" w:hAnsi="David"/>
          <w:rtl/>
        </w:rPr>
        <w:t>תקיים ביום 19.6.23, אשר במסגרתו אף עתיד להיחקר ד"ר גוטליב, על חוות דעתו האחרונה.</w:t>
      </w:r>
    </w:p>
    <w:p w:rsidR="00A935AD" w:rsidRDefault="00A935AD" w:rsidP="00A935AD">
      <w:pPr>
        <w:spacing w:after="120" w:line="360" w:lineRule="auto"/>
        <w:ind w:left="720" w:hanging="720"/>
        <w:jc w:val="both"/>
        <w:rPr>
          <w:rFonts w:ascii="David" w:hAnsi="David"/>
        </w:rPr>
      </w:pPr>
    </w:p>
    <w:p w:rsidR="00A935AD" w:rsidRDefault="00A935AD" w:rsidP="00A935AD">
      <w:pPr>
        <w:spacing w:after="120" w:line="360" w:lineRule="auto"/>
        <w:ind w:left="720" w:hanging="720"/>
        <w:jc w:val="both"/>
        <w:rPr>
          <w:rFonts w:ascii="David" w:hAnsi="David"/>
          <w:b/>
          <w:bCs/>
          <w:u w:val="single"/>
          <w:rtl/>
        </w:rPr>
      </w:pPr>
      <w:r>
        <w:rPr>
          <w:rFonts w:ascii="David" w:hAnsi="David"/>
          <w:b/>
          <w:bCs/>
          <w:u w:val="single"/>
          <w:rtl/>
        </w:rPr>
        <w:t>דיון והכרעה</w:t>
      </w:r>
    </w:p>
    <w:p w:rsidR="00A935AD" w:rsidRDefault="00A935AD" w:rsidP="00A935AD">
      <w:pPr>
        <w:spacing w:after="120" w:line="360" w:lineRule="auto"/>
        <w:ind w:left="720" w:hanging="720"/>
        <w:jc w:val="both"/>
        <w:rPr>
          <w:rFonts w:ascii="David" w:hAnsi="David"/>
          <w:b/>
          <w:bCs/>
          <w:rtl/>
        </w:rPr>
      </w:pPr>
      <w:r>
        <w:rPr>
          <w:rFonts w:ascii="David" w:hAnsi="David"/>
          <w:rtl/>
        </w:rPr>
        <w:t>11.</w:t>
      </w:r>
      <w:r>
        <w:rPr>
          <w:rFonts w:ascii="David" w:hAnsi="David"/>
          <w:rtl/>
        </w:rPr>
        <w:tab/>
      </w:r>
      <w:r>
        <w:rPr>
          <w:rFonts w:ascii="David" w:hAnsi="David"/>
          <w:b/>
          <w:bCs/>
          <w:rtl/>
        </w:rPr>
        <w:t>לאחר עיון בבקשת רשות הערעור על נספחיה, בתשובת המשיב ובתיק קמא שוכנעתי ליתן רשות ערעור ולדחות הערעור לגופו, מכח סמכותי על פי תקנות 138(א)(2) + (5) לתקנות סדר הדין האזרחי, תשע"ט-2018.</w:t>
      </w:r>
    </w:p>
    <w:p w:rsidR="00A935AD" w:rsidRDefault="00A935AD" w:rsidP="00A935AD">
      <w:pPr>
        <w:spacing w:after="120" w:line="360" w:lineRule="auto"/>
        <w:ind w:left="720" w:hanging="720"/>
        <w:jc w:val="both"/>
        <w:rPr>
          <w:rFonts w:ascii="Arial" w:hAnsi="Arial"/>
          <w:noProof w:val="0"/>
          <w:rtl/>
        </w:rPr>
      </w:pPr>
      <w:r>
        <w:rPr>
          <w:rFonts w:ascii="David" w:hAnsi="David"/>
          <w:b/>
          <w:bCs/>
          <w:rtl/>
        </w:rPr>
        <w:tab/>
      </w:r>
      <w:r>
        <w:rPr>
          <w:rFonts w:ascii="David" w:hAnsi="David"/>
          <w:rtl/>
        </w:rPr>
        <w:t>להלן אנמק החלטתי.</w:t>
      </w:r>
    </w:p>
    <w:p w:rsidR="00A935AD" w:rsidRDefault="00A935AD" w:rsidP="00A935AD">
      <w:pPr>
        <w:spacing w:after="120" w:line="360" w:lineRule="auto"/>
        <w:ind w:left="720" w:hanging="720"/>
        <w:jc w:val="both"/>
        <w:rPr>
          <w:rFonts w:ascii="Arial" w:hAnsi="Arial"/>
          <w:noProof w:val="0"/>
          <w:rtl/>
        </w:rPr>
      </w:pPr>
      <w:r>
        <w:rPr>
          <w:rFonts w:ascii="Arial" w:hAnsi="Arial"/>
          <w:noProof w:val="0"/>
          <w:rtl/>
        </w:rPr>
        <w:lastRenderedPageBreak/>
        <w:t>12.</w:t>
      </w:r>
      <w:r>
        <w:rPr>
          <w:rFonts w:ascii="Arial" w:hAnsi="Arial"/>
          <w:noProof w:val="0"/>
          <w:rtl/>
        </w:rPr>
        <w:tab/>
        <w:t>טעמיי לדחיית הערעור נשענים על שלושה אדנים, נפרטם אחד לאחד.</w:t>
      </w:r>
    </w:p>
    <w:p w:rsidR="00A935AD" w:rsidRDefault="00A935AD" w:rsidP="00750148">
      <w:pPr>
        <w:spacing w:after="120" w:line="360" w:lineRule="auto"/>
        <w:ind w:left="720" w:hanging="720"/>
        <w:jc w:val="both"/>
        <w:rPr>
          <w:rFonts w:ascii="Arial" w:hAnsi="Arial"/>
          <w:noProof w:val="0"/>
          <w:rtl/>
        </w:rPr>
      </w:pPr>
      <w:r>
        <w:rPr>
          <w:rFonts w:ascii="Arial" w:hAnsi="Arial"/>
          <w:noProof w:val="0"/>
          <w:rtl/>
        </w:rPr>
        <w:t>13.</w:t>
      </w:r>
      <w:r>
        <w:rPr>
          <w:rFonts w:ascii="Arial" w:hAnsi="Arial"/>
          <w:noProof w:val="0"/>
          <w:rtl/>
        </w:rPr>
        <w:tab/>
      </w:r>
      <w:r>
        <w:rPr>
          <w:rFonts w:ascii="Arial" w:hAnsi="Arial"/>
          <w:b/>
          <w:bCs/>
          <w:noProof w:val="0"/>
          <w:rtl/>
        </w:rPr>
        <w:t>האדן הראשון</w:t>
      </w:r>
      <w:r>
        <w:rPr>
          <w:rFonts w:ascii="Arial" w:hAnsi="Arial"/>
          <w:noProof w:val="0"/>
          <w:rtl/>
        </w:rPr>
        <w:t xml:space="preserve"> הוא, כי בניגוד לטרוניות המבקשת, במסגרת ההחלטה קמא לא נקבעו כלל זמני השהות של המבקשת </w:t>
      </w:r>
      <w:r w:rsidR="00860F29">
        <w:rPr>
          <w:rFonts w:ascii="Arial" w:hAnsi="Arial"/>
          <w:noProof w:val="0"/>
          <w:rtl/>
        </w:rPr>
        <w:t>עם הקטינים;</w:t>
      </w:r>
      <w:r w:rsidR="00860F29">
        <w:rPr>
          <w:rFonts w:ascii="Arial" w:hAnsi="Arial" w:hint="cs"/>
          <w:noProof w:val="0"/>
          <w:rtl/>
        </w:rPr>
        <w:t xml:space="preserve"> </w:t>
      </w:r>
      <w:r>
        <w:rPr>
          <w:rFonts w:ascii="Arial" w:hAnsi="Arial"/>
          <w:noProof w:val="0"/>
          <w:rtl/>
        </w:rPr>
        <w:t>זמני השהות נקבעו בהחלטה מיום 6.8.</w:t>
      </w:r>
      <w:r w:rsidRPr="00750148">
        <w:rPr>
          <w:rFonts w:ascii="Arial" w:hAnsi="Arial"/>
          <w:noProof w:val="0"/>
          <w:rtl/>
        </w:rPr>
        <w:t>2</w:t>
      </w:r>
      <w:r w:rsidR="00750148" w:rsidRPr="00750148">
        <w:rPr>
          <w:rFonts w:ascii="Arial" w:hAnsi="Arial"/>
          <w:noProof w:val="0"/>
          <w:rtl/>
        </w:rPr>
        <w:t>2 ו</w:t>
      </w:r>
      <w:r w:rsidR="00750148">
        <w:rPr>
          <w:rFonts w:ascii="Arial" w:hAnsi="Arial" w:hint="cs"/>
          <w:noProof w:val="0"/>
          <w:rtl/>
        </w:rPr>
        <w:t>מתקיימים כך עד היום</w:t>
      </w:r>
      <w:r w:rsidRPr="00750148">
        <w:rPr>
          <w:rFonts w:ascii="Arial" w:hAnsi="Arial"/>
          <w:noProof w:val="0"/>
          <w:rtl/>
        </w:rPr>
        <w:t>.</w:t>
      </w:r>
      <w:r>
        <w:rPr>
          <w:rFonts w:ascii="Arial" w:hAnsi="Arial"/>
          <w:noProof w:val="0"/>
          <w:rtl/>
        </w:rPr>
        <w:t xml:space="preserve"> כפי שטען המשיב בתשובתו, לא ניתן לערער על</w:t>
      </w:r>
      <w:r w:rsidR="00365C24">
        <w:rPr>
          <w:rFonts w:ascii="Arial" w:hAnsi="Arial"/>
          <w:noProof w:val="0"/>
          <w:rtl/>
        </w:rPr>
        <w:t xml:space="preserve"> ההחלטה מיום 6.8.22 </w:t>
      </w:r>
      <w:r w:rsidR="00365C24">
        <w:rPr>
          <w:rFonts w:ascii="Arial" w:hAnsi="Arial" w:hint="cs"/>
          <w:noProof w:val="0"/>
          <w:rtl/>
        </w:rPr>
        <w:t>משחלף המועד לכך</w:t>
      </w:r>
      <w:r>
        <w:rPr>
          <w:rFonts w:ascii="Arial" w:hAnsi="Arial"/>
          <w:noProof w:val="0"/>
          <w:rtl/>
        </w:rPr>
        <w:t>.</w:t>
      </w:r>
    </w:p>
    <w:p w:rsidR="00A935AD" w:rsidRDefault="00A935AD" w:rsidP="00E07E39">
      <w:pPr>
        <w:spacing w:after="120" w:line="360" w:lineRule="auto"/>
        <w:ind w:left="720" w:hanging="720"/>
        <w:jc w:val="both"/>
        <w:rPr>
          <w:rFonts w:ascii="Arial" w:hAnsi="Arial"/>
          <w:noProof w:val="0"/>
          <w:rtl/>
        </w:rPr>
      </w:pPr>
      <w:r>
        <w:rPr>
          <w:rFonts w:ascii="Arial" w:hAnsi="Arial"/>
          <w:noProof w:val="0"/>
          <w:rtl/>
        </w:rPr>
        <w:t>14.</w:t>
      </w:r>
      <w:r>
        <w:rPr>
          <w:rFonts w:ascii="Arial" w:hAnsi="Arial"/>
          <w:noProof w:val="0"/>
          <w:rtl/>
        </w:rPr>
        <w:tab/>
      </w:r>
      <w:r>
        <w:rPr>
          <w:rFonts w:ascii="Arial" w:hAnsi="Arial"/>
          <w:b/>
          <w:bCs/>
          <w:noProof w:val="0"/>
          <w:rtl/>
        </w:rPr>
        <w:t>האדן השני</w:t>
      </w:r>
      <w:r>
        <w:rPr>
          <w:rFonts w:ascii="Arial" w:hAnsi="Arial"/>
          <w:noProof w:val="0"/>
          <w:rtl/>
        </w:rPr>
        <w:t xml:space="preserve"> הוא, כי בניגוד לטענות המבקשת, הרי שטרם הוכרעה שאלת זמני השהות, ובית משפט קמא הורה לד"ר גוטליב להגיש דיווח עדכני על קיום זמני השהות בין המבקשת לקטינים. מתשובת המשיב ניתן ללמוד כי בית משפט קמא קבע דיון בסוגיה </w:t>
      </w:r>
      <w:r w:rsidR="00886054">
        <w:rPr>
          <w:rFonts w:ascii="Arial" w:hAnsi="Arial" w:hint="cs"/>
          <w:noProof w:val="0"/>
          <w:rtl/>
        </w:rPr>
        <w:t>כבר ל</w:t>
      </w:r>
      <w:r w:rsidR="00365C24">
        <w:rPr>
          <w:rFonts w:ascii="Arial" w:hAnsi="Arial" w:hint="cs"/>
          <w:noProof w:val="0"/>
          <w:rtl/>
        </w:rPr>
        <w:t xml:space="preserve">יום 19.6.23, </w:t>
      </w:r>
      <w:r>
        <w:rPr>
          <w:rFonts w:ascii="Arial" w:hAnsi="Arial"/>
          <w:noProof w:val="0"/>
          <w:rtl/>
        </w:rPr>
        <w:t xml:space="preserve">אליו הוזמן ד"ר גוטליב להעיד. </w:t>
      </w:r>
      <w:r w:rsidRPr="00886054">
        <w:rPr>
          <w:rFonts w:ascii="Arial" w:hAnsi="Arial"/>
          <w:b/>
          <w:bCs/>
          <w:noProof w:val="0"/>
          <w:rtl/>
        </w:rPr>
        <w:t>נראה כי בנקודה זו, הקדימה המבקשת את המאוחר.</w:t>
      </w:r>
      <w:r>
        <w:rPr>
          <w:rFonts w:ascii="Arial" w:hAnsi="Arial"/>
          <w:noProof w:val="0"/>
          <w:rtl/>
        </w:rPr>
        <w:tab/>
      </w:r>
    </w:p>
    <w:p w:rsidR="00A935AD" w:rsidRDefault="00A935AD" w:rsidP="00527305">
      <w:pPr>
        <w:spacing w:after="120" w:line="360" w:lineRule="auto"/>
        <w:ind w:left="720" w:hanging="720"/>
        <w:jc w:val="both"/>
        <w:rPr>
          <w:rFonts w:ascii="Arial" w:hAnsi="Arial"/>
          <w:noProof w:val="0"/>
          <w:rtl/>
        </w:rPr>
      </w:pPr>
      <w:r>
        <w:rPr>
          <w:rFonts w:ascii="Arial" w:hAnsi="Arial"/>
          <w:noProof w:val="0"/>
          <w:rtl/>
        </w:rPr>
        <w:t>15.</w:t>
      </w:r>
      <w:r>
        <w:rPr>
          <w:rFonts w:ascii="Arial" w:hAnsi="Arial"/>
          <w:noProof w:val="0"/>
          <w:rtl/>
        </w:rPr>
        <w:tab/>
      </w:r>
      <w:r>
        <w:rPr>
          <w:rFonts w:ascii="Arial" w:hAnsi="Arial"/>
          <w:b/>
          <w:bCs/>
          <w:noProof w:val="0"/>
          <w:rtl/>
        </w:rPr>
        <w:t>האדן השלישי</w:t>
      </w:r>
      <w:r w:rsidR="00860F29">
        <w:rPr>
          <w:rFonts w:ascii="Arial" w:hAnsi="Arial" w:hint="cs"/>
          <w:noProof w:val="0"/>
          <w:rtl/>
        </w:rPr>
        <w:t xml:space="preserve"> </w:t>
      </w:r>
      <w:r w:rsidR="00860F29">
        <w:rPr>
          <w:rFonts w:ascii="Arial" w:hAnsi="Arial"/>
          <w:noProof w:val="0"/>
          <w:rtl/>
        </w:rPr>
        <w:t>–</w:t>
      </w:r>
      <w:r w:rsidR="00860F29">
        <w:rPr>
          <w:rFonts w:ascii="Arial" w:hAnsi="Arial" w:hint="cs"/>
          <w:noProof w:val="0"/>
          <w:rtl/>
        </w:rPr>
        <w:t xml:space="preserve"> ה</w:t>
      </w:r>
      <w:r w:rsidR="00527305">
        <w:rPr>
          <w:rFonts w:ascii="Arial" w:hAnsi="Arial" w:hint="cs"/>
          <w:noProof w:val="0"/>
          <w:rtl/>
        </w:rPr>
        <w:t>עדפת המלצות ד"ר גוטליב או מר פאיאנס.</w:t>
      </w:r>
    </w:p>
    <w:p w:rsidR="00527305" w:rsidRDefault="00527305" w:rsidP="00E07E39">
      <w:pPr>
        <w:spacing w:after="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במצב הדברים הנדון, משהמומחה גוטליב ייחקר ביום 19.6.23 על ידי הצדדים, ממילא יצטרך בית משפט קמא לשקול מחדש את העדפת המלצות ד"ר גוטליב העדכניות, כשבפניו מונחות המלצות מר פאיאנס. לכן, אין מקום בשלב זה כי </w:t>
      </w:r>
      <w:r w:rsidR="00E07E39">
        <w:rPr>
          <w:rFonts w:ascii="Arial" w:hAnsi="Arial" w:hint="cs"/>
          <w:noProof w:val="0"/>
          <w:rtl/>
        </w:rPr>
        <w:t>בית משפט זה</w:t>
      </w:r>
      <w:r>
        <w:rPr>
          <w:rFonts w:ascii="Arial" w:hAnsi="Arial" w:hint="cs"/>
          <w:noProof w:val="0"/>
          <w:rtl/>
        </w:rPr>
        <w:t xml:space="preserve">, בשלב זה, טרם שמיעת המומחה גוטליב לאחר חוות דעתו העדכנית, </w:t>
      </w:r>
      <w:r w:rsidR="00E07E39">
        <w:rPr>
          <w:rFonts w:ascii="Arial" w:hAnsi="Arial" w:hint="cs"/>
          <w:noProof w:val="0"/>
          <w:rtl/>
        </w:rPr>
        <w:t>ייקבע</w:t>
      </w:r>
      <w:r>
        <w:rPr>
          <w:rFonts w:ascii="Arial" w:hAnsi="Arial" w:hint="cs"/>
          <w:noProof w:val="0"/>
          <w:rtl/>
        </w:rPr>
        <w:t xml:space="preserve"> כל קביעה בנדון. </w:t>
      </w:r>
    </w:p>
    <w:p w:rsidR="00E07E39" w:rsidRDefault="00E07E39" w:rsidP="00E07E39">
      <w:pPr>
        <w:spacing w:after="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לחיזוק הדברים ייאמר, כי </w:t>
      </w:r>
      <w:r>
        <w:rPr>
          <w:rFonts w:ascii="Arial" w:hAnsi="Arial"/>
          <w:noProof w:val="0"/>
          <w:rtl/>
        </w:rPr>
        <w:t>בסעיף 20 בהחלטה קמא נכתב מפורשות כי "</w:t>
      </w:r>
      <w:r>
        <w:rPr>
          <w:rFonts w:ascii="Arial" w:hAnsi="Arial"/>
          <w:b/>
          <w:bCs/>
          <w:noProof w:val="0"/>
          <w:rtl/>
        </w:rPr>
        <w:t xml:space="preserve">ההחלטה מיום 20.3.22 על אימוץ המלצות ד"ר גוטליב </w:t>
      </w:r>
      <w:r>
        <w:rPr>
          <w:rFonts w:ascii="Arial" w:hAnsi="Arial"/>
          <w:b/>
          <w:bCs/>
          <w:noProof w:val="0"/>
          <w:u w:val="single"/>
          <w:rtl/>
        </w:rPr>
        <w:t>מבוטלת</w:t>
      </w:r>
      <w:r>
        <w:rPr>
          <w:rFonts w:ascii="Arial" w:hAnsi="Arial"/>
          <w:b/>
          <w:bCs/>
          <w:noProof w:val="0"/>
          <w:rtl/>
        </w:rPr>
        <w:t>..."</w:t>
      </w:r>
      <w:r>
        <w:rPr>
          <w:rFonts w:ascii="Arial" w:hAnsi="Arial"/>
          <w:noProof w:val="0"/>
          <w:rtl/>
        </w:rPr>
        <w:t xml:space="preserve"> (ההדגשה שלי, ח"ש). ללמדנו, כי בית משפט קמא לא אימץ</w:t>
      </w:r>
      <w:r>
        <w:rPr>
          <w:rFonts w:ascii="Arial" w:hAnsi="Arial" w:hint="cs"/>
          <w:noProof w:val="0"/>
          <w:rtl/>
        </w:rPr>
        <w:t xml:space="preserve"> למעשה או באופן מוחלט</w:t>
      </w:r>
      <w:r>
        <w:rPr>
          <w:rFonts w:ascii="Arial" w:hAnsi="Arial"/>
          <w:noProof w:val="0"/>
          <w:rtl/>
        </w:rPr>
        <w:t xml:space="preserve"> את המלצות ד"ר גוטליב</w:t>
      </w:r>
      <w:r>
        <w:rPr>
          <w:rFonts w:ascii="Arial" w:hAnsi="Arial" w:hint="cs"/>
          <w:noProof w:val="0"/>
          <w:rtl/>
        </w:rPr>
        <w:t>.</w:t>
      </w:r>
    </w:p>
    <w:p w:rsidR="00E07E39" w:rsidRDefault="00E07E39" w:rsidP="00E07E39">
      <w:pPr>
        <w:spacing w:after="120" w:line="360" w:lineRule="auto"/>
        <w:ind w:left="720"/>
        <w:jc w:val="both"/>
        <w:rPr>
          <w:rFonts w:ascii="Arial" w:hAnsi="Arial"/>
          <w:noProof w:val="0"/>
          <w:rtl/>
        </w:rPr>
      </w:pPr>
      <w:r>
        <w:rPr>
          <w:rFonts w:ascii="Arial" w:hAnsi="Arial" w:hint="cs"/>
          <w:noProof w:val="0"/>
          <w:rtl/>
        </w:rPr>
        <w:t xml:space="preserve">סביר </w:t>
      </w:r>
      <w:r>
        <w:rPr>
          <w:rFonts w:ascii="Arial" w:hAnsi="Arial"/>
          <w:noProof w:val="0"/>
          <w:rtl/>
        </w:rPr>
        <w:t>כי החלטת בית משפט קמא</w:t>
      </w:r>
      <w:r>
        <w:rPr>
          <w:rFonts w:ascii="Arial" w:hAnsi="Arial" w:hint="cs"/>
          <w:noProof w:val="0"/>
          <w:rtl/>
        </w:rPr>
        <w:t xml:space="preserve"> בענין המלצות המומחה גוטליב,</w:t>
      </w:r>
      <w:r>
        <w:rPr>
          <w:rFonts w:ascii="Arial" w:hAnsi="Arial"/>
          <w:noProof w:val="0"/>
          <w:rtl/>
        </w:rPr>
        <w:t xml:space="preserve"> תינתן</w:t>
      </w:r>
      <w:r>
        <w:rPr>
          <w:rFonts w:ascii="Arial" w:hAnsi="Arial" w:hint="cs"/>
          <w:noProof w:val="0"/>
          <w:rtl/>
        </w:rPr>
        <w:t xml:space="preserve"> באופן ברור והחלטי</w:t>
      </w:r>
      <w:r>
        <w:rPr>
          <w:rFonts w:ascii="Arial" w:hAnsi="Arial"/>
          <w:noProof w:val="0"/>
          <w:rtl/>
        </w:rPr>
        <w:t xml:space="preserve"> רק לאחר קבלת הדיווח העדכני ושמיעת המומחה בעניין זה (כפי שנאמר בהמשך ההחלטה קמא)</w:t>
      </w:r>
      <w:r>
        <w:rPr>
          <w:rFonts w:ascii="Arial" w:hAnsi="Arial" w:hint="cs"/>
          <w:noProof w:val="0"/>
          <w:rtl/>
        </w:rPr>
        <w:t xml:space="preserve"> וחקירתו על ידי הצדדים ביום 19.6.2023.</w:t>
      </w:r>
    </w:p>
    <w:p w:rsidR="00A935AD" w:rsidRDefault="00A935AD" w:rsidP="00A935AD">
      <w:pPr>
        <w:spacing w:after="120" w:line="360" w:lineRule="auto"/>
        <w:ind w:left="720" w:hanging="720"/>
        <w:jc w:val="both"/>
        <w:rPr>
          <w:rFonts w:ascii="Arial" w:hAnsi="Arial"/>
          <w:noProof w:val="0"/>
          <w:rtl/>
        </w:rPr>
      </w:pPr>
    </w:p>
    <w:p w:rsidR="00A935AD" w:rsidRDefault="00A935AD" w:rsidP="00A935AD">
      <w:pPr>
        <w:spacing w:after="120" w:line="360" w:lineRule="auto"/>
        <w:jc w:val="both"/>
        <w:rPr>
          <w:rFonts w:ascii="David" w:hAnsi="David"/>
          <w:b/>
          <w:bCs/>
          <w:u w:val="single"/>
          <w:rtl/>
        </w:rPr>
      </w:pPr>
      <w:r>
        <w:rPr>
          <w:rFonts w:ascii="David" w:hAnsi="David"/>
          <w:b/>
          <w:bCs/>
          <w:u w:val="single"/>
          <w:rtl/>
        </w:rPr>
        <w:t>סוף דבר</w:t>
      </w:r>
    </w:p>
    <w:p w:rsidR="00A935AD" w:rsidRDefault="00A935AD" w:rsidP="00A935AD">
      <w:pPr>
        <w:spacing w:after="120" w:line="360" w:lineRule="auto"/>
        <w:ind w:left="720" w:hanging="720"/>
        <w:jc w:val="both"/>
        <w:rPr>
          <w:rFonts w:ascii="David" w:hAnsi="David"/>
          <w:b/>
          <w:bCs/>
          <w:noProof w:val="0"/>
          <w:rtl/>
        </w:rPr>
      </w:pPr>
      <w:r>
        <w:rPr>
          <w:rFonts w:ascii="David" w:hAnsi="David"/>
          <w:rtl/>
        </w:rPr>
        <w:t>16.</w:t>
      </w:r>
      <w:r>
        <w:rPr>
          <w:rFonts w:ascii="David" w:hAnsi="David"/>
          <w:rtl/>
        </w:rPr>
        <w:tab/>
      </w:r>
      <w:r>
        <w:rPr>
          <w:rFonts w:ascii="David" w:hAnsi="David"/>
          <w:b/>
          <w:bCs/>
          <w:rtl/>
        </w:rPr>
        <w:t xml:space="preserve">לאור כל האמור לעיל אני מורה על דחיית בקשת רשות הערעור דנן. </w:t>
      </w:r>
      <w:r>
        <w:rPr>
          <w:rFonts w:ascii="David" w:hAnsi="David"/>
          <w:rtl/>
        </w:rPr>
        <w:tab/>
      </w:r>
    </w:p>
    <w:p w:rsidR="00A935AD" w:rsidRDefault="00A935AD" w:rsidP="00A935AD">
      <w:pPr>
        <w:spacing w:after="120" w:line="360" w:lineRule="auto"/>
        <w:ind w:left="720" w:hanging="720"/>
        <w:jc w:val="both"/>
        <w:rPr>
          <w:rFonts w:ascii="David" w:hAnsi="David"/>
          <w:rtl/>
        </w:rPr>
      </w:pPr>
      <w:r>
        <w:rPr>
          <w:rFonts w:ascii="David" w:hAnsi="David"/>
          <w:rtl/>
        </w:rPr>
        <w:t>17.</w:t>
      </w:r>
      <w:r>
        <w:rPr>
          <w:rFonts w:ascii="David" w:hAnsi="David"/>
          <w:rtl/>
        </w:rPr>
        <w:tab/>
        <w:t>בנסיבות העניין אינני עושה צו להוצאות.</w:t>
      </w:r>
    </w:p>
    <w:p w:rsidR="00A935AD" w:rsidRDefault="00A935AD" w:rsidP="00A935AD">
      <w:pPr>
        <w:spacing w:after="120" w:line="360" w:lineRule="auto"/>
        <w:jc w:val="both"/>
        <w:rPr>
          <w:rFonts w:ascii="David" w:hAnsi="David"/>
        </w:rPr>
      </w:pPr>
      <w:r>
        <w:rPr>
          <w:rFonts w:ascii="David" w:hAnsi="David"/>
          <w:rtl/>
        </w:rPr>
        <w:t>18.</w:t>
      </w:r>
      <w:r>
        <w:rPr>
          <w:rFonts w:ascii="David" w:hAnsi="David"/>
          <w:rtl/>
        </w:rPr>
        <w:tab/>
        <w:t>עירבון שהמבקשת הפקידה בהליך יוחזר לה באמצעות בא כוחה.</w:t>
      </w:r>
    </w:p>
    <w:p w:rsidR="00A935AD" w:rsidRDefault="00A935AD" w:rsidP="00A935AD">
      <w:pPr>
        <w:spacing w:after="120" w:line="360" w:lineRule="auto"/>
        <w:jc w:val="both"/>
        <w:rPr>
          <w:rFonts w:ascii="David" w:hAnsi="David"/>
          <w:rtl/>
        </w:rPr>
      </w:pPr>
    </w:p>
    <w:p w:rsidR="00A935AD" w:rsidRDefault="00A935AD" w:rsidP="00A935AD">
      <w:pPr>
        <w:spacing w:after="120" w:line="360" w:lineRule="auto"/>
        <w:jc w:val="both"/>
        <w:rPr>
          <w:rFonts w:ascii="David" w:hAnsi="David"/>
          <w:b/>
          <w:bCs/>
          <w:rtl/>
        </w:rPr>
      </w:pPr>
      <w:r>
        <w:rPr>
          <w:rFonts w:ascii="David" w:hAnsi="David"/>
          <w:b/>
          <w:bCs/>
          <w:rtl/>
        </w:rPr>
        <w:t>המזכירות תשלח פסק דין זה לצדדים.</w:t>
      </w:r>
    </w:p>
    <w:p w:rsidR="00A935AD" w:rsidRDefault="00A935AD" w:rsidP="00A935AD">
      <w:pPr>
        <w:spacing w:after="120" w:line="360" w:lineRule="auto"/>
        <w:jc w:val="both"/>
        <w:rPr>
          <w:rFonts w:ascii="David" w:hAnsi="David"/>
          <w:b/>
          <w:bCs/>
          <w:rtl/>
        </w:rPr>
      </w:pPr>
    </w:p>
    <w:p w:rsidR="00860F29" w:rsidRDefault="00860F29" w:rsidP="00A935AD">
      <w:pPr>
        <w:spacing w:after="120" w:line="360" w:lineRule="auto"/>
        <w:jc w:val="both"/>
        <w:rPr>
          <w:rFonts w:ascii="David" w:hAnsi="David"/>
          <w:b/>
          <w:bCs/>
          <w:rtl/>
        </w:rPr>
      </w:pPr>
    </w:p>
    <w:p w:rsidR="00A935AD" w:rsidRDefault="00A935AD" w:rsidP="00A935AD">
      <w:pPr>
        <w:spacing w:after="120" w:line="360" w:lineRule="auto"/>
        <w:jc w:val="both"/>
        <w:rPr>
          <w:rFonts w:ascii="David" w:hAnsi="David"/>
          <w:b/>
          <w:bCs/>
          <w:rtl/>
        </w:rPr>
      </w:pPr>
    </w:p>
    <w:p w:rsidR="00A935AD" w:rsidRDefault="00A935AD" w:rsidP="00A935AD">
      <w:pPr>
        <w:spacing w:after="120" w:line="360" w:lineRule="auto"/>
        <w:jc w:val="both"/>
        <w:rPr>
          <w:rFonts w:ascii="Arial" w:hAnsi="Arial"/>
          <w:noProof w:val="0"/>
          <w:rtl/>
        </w:rPr>
      </w:pPr>
      <w:r>
        <w:rPr>
          <w:rFonts w:ascii="David" w:hAnsi="David"/>
          <w:b/>
          <w:bCs/>
          <w:rtl/>
        </w:rPr>
        <w:t>פסק דין זה מותר לפרסום תוך השמטת שמות הצדדים וכל פרט מזהה אחר.</w:t>
      </w:r>
    </w:p>
    <w:p w:rsidR="00A935AD" w:rsidRPr="00C770E3" w:rsidRDefault="00A935AD">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יוני 2023</w:t>
          </w:r>
        </w:sdtContent>
      </w:sdt>
      <w:r w:rsidR="00005C8B">
        <w:rPr>
          <w:rFonts w:ascii="Arial" w:hAnsi="Arial"/>
          <w:noProof w:val="0"/>
          <w:rtl/>
        </w:rPr>
        <w:t>, בהעדר הצדדים.</w:t>
      </w:r>
    </w:p>
    <w:p w:rsidR="00C43648" w:rsidRDefault="008D01D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26755886"/>
        </w:sdtPr>
        <w:sdtEndPr/>
        <w:sdtContent>
          <w:r w:rsidR="006B037B">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1DE" w:rsidRDefault="008D01DE">
      <w:r>
        <w:separator/>
      </w:r>
    </w:p>
  </w:endnote>
  <w:endnote w:type="continuationSeparator" w:id="0">
    <w:p w:rsidR="008D01DE" w:rsidRDefault="008D0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987" w:rsidRDefault="0034498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74CA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74CAC">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987" w:rsidRDefault="0034498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1DE" w:rsidRDefault="008D01DE">
      <w:r>
        <w:separator/>
      </w:r>
    </w:p>
  </w:footnote>
  <w:footnote w:type="continuationSeparator" w:id="0">
    <w:p w:rsidR="008D01DE" w:rsidRDefault="008D0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987" w:rsidRDefault="0034498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A935AD" w:rsidRDefault="008D01DE" w:rsidP="00545012">
          <w:pPr>
            <w:rPr>
              <w:b/>
              <w:bCs/>
              <w:noProof w:val="0"/>
              <w:sz w:val="26"/>
              <w:szCs w:val="26"/>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53503-03-23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545012">
                <w:rPr>
                  <w:rFonts w:hint="cs"/>
                  <w:b/>
                  <w:bCs/>
                  <w:noProof w:val="0"/>
                  <w:sz w:val="26"/>
                  <w:szCs w:val="26"/>
                  <w:rtl/>
                </w:rPr>
                <w:t>י'</w:t>
              </w:r>
              <w:r w:rsidR="00545012">
                <w:rPr>
                  <w:b/>
                  <w:bCs/>
                  <w:noProof w:val="0"/>
                  <w:sz w:val="26"/>
                  <w:szCs w:val="26"/>
                  <w:rtl/>
                </w:rPr>
                <w:t xml:space="preserve"> נ' </w:t>
              </w:r>
              <w:r w:rsidR="00545012">
                <w:rPr>
                  <w:rFonts w:hint="cs"/>
                  <w:b/>
                  <w:bCs/>
                  <w:noProof w:val="0"/>
                  <w:sz w:val="26"/>
                  <w:szCs w:val="26"/>
                  <w:rtl/>
                </w:rPr>
                <w:t>י'</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987" w:rsidRDefault="0034498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B78D9"/>
    <w:rsid w:val="001C4003"/>
    <w:rsid w:val="001D4DBF"/>
    <w:rsid w:val="001E75CA"/>
    <w:rsid w:val="001F4155"/>
    <w:rsid w:val="002265FF"/>
    <w:rsid w:val="00271B56"/>
    <w:rsid w:val="00272E32"/>
    <w:rsid w:val="002C344E"/>
    <w:rsid w:val="002E75E9"/>
    <w:rsid w:val="002F0B1E"/>
    <w:rsid w:val="00307A6A"/>
    <w:rsid w:val="00307C40"/>
    <w:rsid w:val="00320433"/>
    <w:rsid w:val="003230C7"/>
    <w:rsid w:val="00327E50"/>
    <w:rsid w:val="0033597A"/>
    <w:rsid w:val="00343D89"/>
    <w:rsid w:val="00344987"/>
    <w:rsid w:val="00362612"/>
    <w:rsid w:val="00365C24"/>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83451"/>
    <w:rsid w:val="004C17EE"/>
    <w:rsid w:val="004C4BDF"/>
    <w:rsid w:val="004D1187"/>
    <w:rsid w:val="004D3AA0"/>
    <w:rsid w:val="004E1987"/>
    <w:rsid w:val="004E2E15"/>
    <w:rsid w:val="004E6E3C"/>
    <w:rsid w:val="00520898"/>
    <w:rsid w:val="00523621"/>
    <w:rsid w:val="00524986"/>
    <w:rsid w:val="005268F6"/>
    <w:rsid w:val="00527305"/>
    <w:rsid w:val="00534284"/>
    <w:rsid w:val="00545012"/>
    <w:rsid w:val="00547DB7"/>
    <w:rsid w:val="00557717"/>
    <w:rsid w:val="00576A86"/>
    <w:rsid w:val="005F4F09"/>
    <w:rsid w:val="00603F73"/>
    <w:rsid w:val="0061431B"/>
    <w:rsid w:val="00622BAA"/>
    <w:rsid w:val="006306CF"/>
    <w:rsid w:val="00644E9A"/>
    <w:rsid w:val="00651B68"/>
    <w:rsid w:val="00671BD5"/>
    <w:rsid w:val="00673928"/>
    <w:rsid w:val="00674CAC"/>
    <w:rsid w:val="006805C1"/>
    <w:rsid w:val="006829A1"/>
    <w:rsid w:val="00686C21"/>
    <w:rsid w:val="006931C1"/>
    <w:rsid w:val="00694556"/>
    <w:rsid w:val="006B037B"/>
    <w:rsid w:val="006C30C5"/>
    <w:rsid w:val="006D3B31"/>
    <w:rsid w:val="006E0D96"/>
    <w:rsid w:val="006E1A53"/>
    <w:rsid w:val="006F56E6"/>
    <w:rsid w:val="00704EDA"/>
    <w:rsid w:val="00721122"/>
    <w:rsid w:val="00734689"/>
    <w:rsid w:val="007351F7"/>
    <w:rsid w:val="00750148"/>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37F88"/>
    <w:rsid w:val="00844318"/>
    <w:rsid w:val="00860102"/>
    <w:rsid w:val="00860F29"/>
    <w:rsid w:val="00863F5D"/>
    <w:rsid w:val="00870890"/>
    <w:rsid w:val="00873602"/>
    <w:rsid w:val="00875D12"/>
    <w:rsid w:val="00876170"/>
    <w:rsid w:val="0088479D"/>
    <w:rsid w:val="00886054"/>
    <w:rsid w:val="00891F42"/>
    <w:rsid w:val="00896889"/>
    <w:rsid w:val="008A6E97"/>
    <w:rsid w:val="008C5714"/>
    <w:rsid w:val="008D01DE"/>
    <w:rsid w:val="008D10B2"/>
    <w:rsid w:val="008F1A14"/>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15FB0"/>
    <w:rsid w:val="00A3392B"/>
    <w:rsid w:val="00A46717"/>
    <w:rsid w:val="00A85E34"/>
    <w:rsid w:val="00A9144F"/>
    <w:rsid w:val="00A935AD"/>
    <w:rsid w:val="00A94B64"/>
    <w:rsid w:val="00AA3229"/>
    <w:rsid w:val="00AA7596"/>
    <w:rsid w:val="00AB3AE3"/>
    <w:rsid w:val="00AB5E52"/>
    <w:rsid w:val="00AC3B02"/>
    <w:rsid w:val="00AC3B7B"/>
    <w:rsid w:val="00AC5209"/>
    <w:rsid w:val="00AD49F4"/>
    <w:rsid w:val="00AE0E34"/>
    <w:rsid w:val="00AE729E"/>
    <w:rsid w:val="00AE7752"/>
    <w:rsid w:val="00AF7FDA"/>
    <w:rsid w:val="00B262A7"/>
    <w:rsid w:val="00B5356E"/>
    <w:rsid w:val="00B809AD"/>
    <w:rsid w:val="00B80CBD"/>
    <w:rsid w:val="00B859C5"/>
    <w:rsid w:val="00B86096"/>
    <w:rsid w:val="00B964D9"/>
    <w:rsid w:val="00BA0A7C"/>
    <w:rsid w:val="00BA517C"/>
    <w:rsid w:val="00BB3D05"/>
    <w:rsid w:val="00BB4B7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07E39"/>
    <w:rsid w:val="00E1068A"/>
    <w:rsid w:val="00E25884"/>
    <w:rsid w:val="00E25B55"/>
    <w:rsid w:val="00E31C2B"/>
    <w:rsid w:val="00E5426A"/>
    <w:rsid w:val="00E54642"/>
    <w:rsid w:val="00E80CBE"/>
    <w:rsid w:val="00E9269D"/>
    <w:rsid w:val="00E962E3"/>
    <w:rsid w:val="00EB6C79"/>
    <w:rsid w:val="00EC06AA"/>
    <w:rsid w:val="00EC37E9"/>
    <w:rsid w:val="00F038D8"/>
    <w:rsid w:val="00F06995"/>
    <w:rsid w:val="00F12D66"/>
    <w:rsid w:val="00F13623"/>
    <w:rsid w:val="00F44D1D"/>
    <w:rsid w:val="00F84B6D"/>
    <w:rsid w:val="00F957E8"/>
    <w:rsid w:val="00FA311A"/>
    <w:rsid w:val="00FA5FDA"/>
    <w:rsid w:val="00FB6AB3"/>
    <w:rsid w:val="00FC6F70"/>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55414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B5208" w:rsidP="003B5208">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3B5208"/>
    <w:rsid w:val="003C746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D321C"/>
    <w:rsid w:val="00CE1DCB"/>
    <w:rsid w:val="00D24521"/>
    <w:rsid w:val="00E31BF6"/>
    <w:rsid w:val="00E81DB1"/>
    <w:rsid w:val="00F00DF8"/>
    <w:rsid w:val="00F04DC1"/>
    <w:rsid w:val="00F678CA"/>
    <w:rsid w:val="00FB19FB"/>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B520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B5208"/>
    <w:pPr>
      <w:bidi/>
      <w:spacing w:after="0" w:line="240" w:lineRule="auto"/>
    </w:pPr>
    <w:rPr>
      <w:rFonts w:ascii="Times New Roman" w:eastAsia="Times New Roman" w:hAnsi="Times New Roman" w:cs="David"/>
      <w:noProof/>
      <w:sz w:val="24"/>
      <w:szCs w:val="24"/>
    </w:rPr>
  </w:style>
  <w:style w:type="paragraph" w:customStyle="1" w:styleId="2A3BF032938B47FAB8316BD592F78BE8">
    <w:name w:val="2A3BF032938B47FAB8316BD592F78BE8"/>
    <w:rsid w:val="003B5208"/>
    <w:pPr>
      <w:bidi/>
      <w:spacing w:after="160" w:line="259" w:lineRule="auto"/>
    </w:pPr>
  </w:style>
  <w:style w:type="paragraph" w:customStyle="1" w:styleId="DC9288A9329F42FE93D79B2C0DD9222D">
    <w:name w:val="DC9288A9329F42FE93D79B2C0DD9222D"/>
    <w:rsid w:val="003B5208"/>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1723</Words>
  <Characters>8617</Characters>
  <Application>Microsoft Office Word</Application>
  <DocSecurity>0</DocSecurity>
  <Lines>71</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2023-06-29T10:53:00Z</dcterms:created>
  <dcterms:modified xsi:type="dcterms:W3CDTF">2023-06-29T10:53:00Z</dcterms:modified>
</cp:coreProperties>
</file>